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B313B" w14:textId="4F9BF831" w:rsidR="00EF228C" w:rsidRPr="00391F2F" w:rsidRDefault="00EF228C" w:rsidP="00794F3B">
      <w:pPr>
        <w:spacing w:after="0" w:line="240" w:lineRule="auto"/>
        <w:jc w:val="center"/>
        <w:rPr>
          <w:rFonts w:ascii="Aptos Display" w:eastAsia="Times New Roman" w:hAnsi="Aptos Display" w:cs="Times New Roman"/>
          <w:b/>
          <w:sz w:val="24"/>
          <w:szCs w:val="24"/>
          <w:u w:val="single"/>
          <w:lang w:eastAsia="cs-CZ"/>
        </w:rPr>
      </w:pPr>
      <w:r w:rsidRPr="00391F2F">
        <w:rPr>
          <w:rFonts w:ascii="Aptos Display" w:eastAsia="Times New Roman" w:hAnsi="Aptos Display" w:cs="Times New Roman"/>
          <w:b/>
          <w:sz w:val="24"/>
          <w:szCs w:val="24"/>
          <w:u w:val="single"/>
          <w:lang w:eastAsia="cs-CZ"/>
        </w:rPr>
        <w:t>RÁMCOVÝ PROGRAM SEMINÁŘŮ PRO ADVOKÁTNÍ KONCIPIENTY 202</w:t>
      </w:r>
      <w:r w:rsidR="008D1091" w:rsidRPr="00391F2F">
        <w:rPr>
          <w:rFonts w:ascii="Aptos Display" w:eastAsia="Times New Roman" w:hAnsi="Aptos Display" w:cs="Times New Roman"/>
          <w:b/>
          <w:sz w:val="24"/>
          <w:szCs w:val="24"/>
          <w:u w:val="single"/>
          <w:lang w:eastAsia="cs-CZ"/>
        </w:rPr>
        <w:t>5</w:t>
      </w:r>
    </w:p>
    <w:p w14:paraId="786C9CD7" w14:textId="77777777" w:rsidR="00125485" w:rsidRPr="00391F2F" w:rsidRDefault="00125485" w:rsidP="00EF228C">
      <w:pPr>
        <w:spacing w:after="0" w:line="240" w:lineRule="auto"/>
        <w:jc w:val="both"/>
        <w:rPr>
          <w:rFonts w:ascii="Aptos Display" w:hAnsi="Aptos Display" w:cs="Times New Roman"/>
          <w:b/>
          <w:sz w:val="18"/>
          <w:szCs w:val="18"/>
          <w:u w:val="single"/>
        </w:rPr>
      </w:pPr>
    </w:p>
    <w:p w14:paraId="79C9E069" w14:textId="77777777" w:rsidR="00EF228C" w:rsidRPr="00391F2F" w:rsidRDefault="00EF228C" w:rsidP="00EF228C">
      <w:pPr>
        <w:spacing w:after="0" w:line="240" w:lineRule="auto"/>
        <w:jc w:val="both"/>
        <w:rPr>
          <w:rFonts w:ascii="Aptos Display" w:hAnsi="Aptos Display" w:cs="Times New Roman"/>
          <w:b/>
          <w:sz w:val="20"/>
          <w:szCs w:val="20"/>
          <w:u w:val="single"/>
        </w:rPr>
      </w:pPr>
      <w:r w:rsidRPr="00391F2F">
        <w:rPr>
          <w:rFonts w:ascii="Aptos Display" w:hAnsi="Aptos Display" w:cs="Times New Roman"/>
          <w:b/>
          <w:sz w:val="20"/>
          <w:szCs w:val="20"/>
          <w:u w:val="single"/>
        </w:rPr>
        <w:t>Vstupní školení:</w:t>
      </w:r>
    </w:p>
    <w:p w14:paraId="50B3032C" w14:textId="77777777" w:rsidR="00EF228C" w:rsidRPr="00391F2F" w:rsidRDefault="00EF228C" w:rsidP="00EF228C">
      <w:pPr>
        <w:pStyle w:val="Nadpis3"/>
        <w:rPr>
          <w:rFonts w:ascii="Aptos Display" w:hAnsi="Aptos Display"/>
          <w:i/>
          <w:iCs/>
          <w:sz w:val="20"/>
          <w:szCs w:val="20"/>
        </w:rPr>
      </w:pPr>
      <w:r w:rsidRPr="00391F2F">
        <w:rPr>
          <w:rFonts w:ascii="Aptos Display" w:hAnsi="Aptos Display"/>
          <w:i/>
          <w:iCs/>
          <w:sz w:val="20"/>
          <w:szCs w:val="20"/>
        </w:rPr>
        <w:t>Advokátní právo (</w:t>
      </w:r>
      <w:r w:rsidRPr="00391F2F">
        <w:rPr>
          <w:rFonts w:ascii="Aptos Display" w:hAnsi="Aptos Display"/>
          <w:i/>
          <w:iCs/>
          <w:color w:val="000000"/>
          <w:sz w:val="20"/>
          <w:szCs w:val="20"/>
        </w:rPr>
        <w:t>2 dny</w:t>
      </w:r>
      <w:r w:rsidRPr="00391F2F">
        <w:rPr>
          <w:rFonts w:ascii="Aptos Display" w:hAnsi="Aptos Display"/>
          <w:i/>
          <w:iCs/>
          <w:sz w:val="20"/>
          <w:szCs w:val="20"/>
        </w:rPr>
        <w:t>)</w:t>
      </w:r>
    </w:p>
    <w:p w14:paraId="7E8D7F87" w14:textId="77777777" w:rsidR="00EF228C" w:rsidRPr="00391F2F" w:rsidRDefault="00EF228C" w:rsidP="00EF228C">
      <w:pPr>
        <w:spacing w:after="0" w:line="240" w:lineRule="auto"/>
        <w:jc w:val="both"/>
        <w:rPr>
          <w:rFonts w:ascii="Aptos Display" w:hAnsi="Aptos Display" w:cs="Times New Roman"/>
          <w:i/>
          <w:iCs/>
          <w:sz w:val="20"/>
          <w:szCs w:val="20"/>
        </w:rPr>
      </w:pPr>
      <w:r w:rsidRPr="00391F2F">
        <w:rPr>
          <w:rFonts w:ascii="Aptos Display" w:hAnsi="Aptos Display" w:cs="Times New Roman"/>
          <w:i/>
          <w:iCs/>
          <w:sz w:val="20"/>
          <w:szCs w:val="20"/>
        </w:rPr>
        <w:t>Zákon o advokacii a stavovské předpisy – Historie advokacie – Práva a povinnosti advokátního koncipienta – Pravidla profesionální etiky, mlčenlivost – Kárná odpovědnost advokáta a advokátního koncipienta</w:t>
      </w:r>
    </w:p>
    <w:p w14:paraId="1562685D" w14:textId="77777777" w:rsidR="00794F3B" w:rsidRPr="00391F2F" w:rsidRDefault="00794F3B" w:rsidP="00794F3B">
      <w:pPr>
        <w:spacing w:after="0" w:line="240" w:lineRule="auto"/>
        <w:jc w:val="both"/>
        <w:rPr>
          <w:rFonts w:ascii="Aptos Display" w:hAnsi="Aptos Display" w:cs="Times New Roman"/>
          <w:b/>
          <w:sz w:val="18"/>
          <w:szCs w:val="18"/>
          <w:u w:val="single"/>
        </w:rPr>
      </w:pPr>
    </w:p>
    <w:p w14:paraId="7B4A773F" w14:textId="77777777" w:rsidR="00EF228C" w:rsidRPr="00391F2F" w:rsidRDefault="00EF228C" w:rsidP="00794F3B">
      <w:pPr>
        <w:spacing w:after="0" w:line="240" w:lineRule="auto"/>
        <w:jc w:val="both"/>
        <w:rPr>
          <w:rFonts w:ascii="Aptos Display" w:hAnsi="Aptos Display" w:cs="Times New Roman"/>
          <w:b/>
          <w:sz w:val="20"/>
          <w:szCs w:val="20"/>
          <w:u w:val="single"/>
        </w:rPr>
      </w:pPr>
      <w:r w:rsidRPr="00391F2F">
        <w:rPr>
          <w:rFonts w:ascii="Aptos Display" w:hAnsi="Aptos Display" w:cs="Times New Roman"/>
          <w:b/>
          <w:sz w:val="20"/>
          <w:szCs w:val="20"/>
          <w:u w:val="single"/>
        </w:rPr>
        <w:t>Povinné semináře:</w:t>
      </w:r>
    </w:p>
    <w:p w14:paraId="72CDA651" w14:textId="77777777" w:rsidR="00EF228C" w:rsidRPr="00391F2F" w:rsidRDefault="00EF228C" w:rsidP="00794F3B">
      <w:pPr>
        <w:spacing w:after="0" w:line="240" w:lineRule="auto"/>
        <w:jc w:val="both"/>
        <w:rPr>
          <w:rFonts w:ascii="Aptos Display" w:eastAsia="Times New Roman" w:hAnsi="Aptos Display" w:cs="Times New Roman"/>
          <w:b/>
          <w:i/>
          <w:iCs/>
          <w:sz w:val="20"/>
          <w:szCs w:val="20"/>
          <w:u w:val="single"/>
          <w:lang w:eastAsia="cs-CZ"/>
        </w:rPr>
      </w:pPr>
      <w:r w:rsidRPr="00391F2F">
        <w:rPr>
          <w:rFonts w:ascii="Aptos Display" w:eastAsia="Times New Roman" w:hAnsi="Aptos Display" w:cs="Times New Roman"/>
          <w:b/>
          <w:i/>
          <w:iCs/>
          <w:sz w:val="20"/>
          <w:szCs w:val="20"/>
          <w:u w:val="single"/>
          <w:lang w:eastAsia="cs-CZ"/>
        </w:rPr>
        <w:t xml:space="preserve">První rok trvání právní praxe </w:t>
      </w:r>
    </w:p>
    <w:p w14:paraId="56726A22" w14:textId="77777777" w:rsidR="00EF228C" w:rsidRPr="00391F2F" w:rsidRDefault="00EF228C" w:rsidP="00794F3B">
      <w:pPr>
        <w:spacing w:after="0" w:line="240" w:lineRule="auto"/>
        <w:jc w:val="both"/>
        <w:rPr>
          <w:rFonts w:ascii="Aptos Display" w:hAnsi="Aptos Display" w:cs="Times New Roman"/>
          <w:i/>
          <w:iCs/>
          <w:sz w:val="20"/>
          <w:szCs w:val="20"/>
        </w:rPr>
      </w:pPr>
      <w:r w:rsidRPr="00391F2F">
        <w:rPr>
          <w:rFonts w:ascii="Aptos Display" w:hAnsi="Aptos Display" w:cs="Times New Roman"/>
          <w:i/>
          <w:iCs/>
          <w:sz w:val="20"/>
          <w:szCs w:val="20"/>
        </w:rPr>
        <w:t xml:space="preserve">a) poskytování právních služeb v oblasti soukromého práva v rozsahu jednoho seminárního dne </w:t>
      </w:r>
    </w:p>
    <w:p w14:paraId="7E5E8C2A" w14:textId="77777777" w:rsidR="00EF228C" w:rsidRPr="00391F2F" w:rsidRDefault="00EF228C" w:rsidP="00794F3B">
      <w:pPr>
        <w:spacing w:after="0" w:line="240" w:lineRule="auto"/>
        <w:jc w:val="both"/>
        <w:rPr>
          <w:rFonts w:ascii="Aptos Display" w:hAnsi="Aptos Display" w:cs="Times New Roman"/>
          <w:i/>
          <w:iCs/>
          <w:sz w:val="20"/>
          <w:szCs w:val="20"/>
        </w:rPr>
      </w:pPr>
      <w:r w:rsidRPr="00391F2F">
        <w:rPr>
          <w:rFonts w:ascii="Aptos Display" w:hAnsi="Aptos Display" w:cs="Times New Roman"/>
          <w:i/>
          <w:iCs/>
          <w:sz w:val="20"/>
          <w:szCs w:val="20"/>
        </w:rPr>
        <w:t xml:space="preserve">b) obhajoba v trestním řízení v rozsahu jednoho seminárního dne </w:t>
      </w:r>
    </w:p>
    <w:p w14:paraId="0C342418" w14:textId="77777777" w:rsidR="00EF228C" w:rsidRPr="00391F2F" w:rsidRDefault="00EF228C" w:rsidP="00794F3B">
      <w:pPr>
        <w:spacing w:after="0" w:line="240" w:lineRule="auto"/>
        <w:jc w:val="both"/>
        <w:rPr>
          <w:rFonts w:ascii="Aptos Display" w:hAnsi="Aptos Display" w:cs="Times New Roman"/>
          <w:i/>
          <w:iCs/>
          <w:sz w:val="20"/>
          <w:szCs w:val="20"/>
        </w:rPr>
      </w:pPr>
      <w:r w:rsidRPr="00391F2F">
        <w:rPr>
          <w:rFonts w:ascii="Aptos Display" w:hAnsi="Aptos Display" w:cs="Times New Roman"/>
          <w:i/>
          <w:iCs/>
          <w:sz w:val="20"/>
          <w:szCs w:val="20"/>
        </w:rPr>
        <w:t xml:space="preserve">c) poskytování služeb v oblasti veřejného práva v rozsahu jednoho seminárního dne </w:t>
      </w:r>
    </w:p>
    <w:p w14:paraId="47595182" w14:textId="77777777" w:rsidR="00794F3B" w:rsidRPr="00391F2F" w:rsidRDefault="00794F3B" w:rsidP="00794F3B">
      <w:pPr>
        <w:spacing w:after="0" w:line="240" w:lineRule="auto"/>
        <w:jc w:val="both"/>
        <w:rPr>
          <w:rFonts w:ascii="Aptos Display" w:hAnsi="Aptos Display" w:cs="Times New Roman"/>
          <w:i/>
          <w:iCs/>
          <w:sz w:val="18"/>
          <w:szCs w:val="1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5029"/>
      </w:tblGrid>
      <w:tr w:rsidR="00EF228C" w:rsidRPr="00391F2F" w14:paraId="28DBC4D6" w14:textId="77777777" w:rsidTr="00794F3B">
        <w:trPr>
          <w:trHeight w:val="167"/>
        </w:trPr>
        <w:tc>
          <w:tcPr>
            <w:tcW w:w="4605" w:type="dxa"/>
            <w:shd w:val="clear" w:color="auto" w:fill="auto"/>
          </w:tcPr>
          <w:p w14:paraId="4898C92F" w14:textId="77777777" w:rsidR="00EF228C" w:rsidRPr="00391F2F" w:rsidRDefault="00EF228C" w:rsidP="00794F3B">
            <w:pPr>
              <w:pStyle w:val="Nadpis3"/>
              <w:rPr>
                <w:rFonts w:ascii="Aptos Display" w:hAnsi="Aptos Display" w:cs="Arial"/>
                <w:bCs/>
                <w:iCs/>
                <w:color w:val="000000"/>
                <w:sz w:val="18"/>
                <w:szCs w:val="18"/>
                <w:u w:val="none"/>
              </w:rPr>
            </w:pPr>
            <w:r w:rsidRPr="00391F2F">
              <w:rPr>
                <w:rFonts w:ascii="Aptos Display" w:hAnsi="Aptos Display"/>
                <w:sz w:val="18"/>
                <w:szCs w:val="18"/>
                <w:u w:val="none"/>
              </w:rPr>
              <w:t>a)</w:t>
            </w:r>
            <w:r w:rsidRPr="00391F2F">
              <w:rPr>
                <w:rFonts w:ascii="Aptos Display" w:hAnsi="Aptos Display" w:cs="Arial"/>
                <w:bCs/>
                <w:iCs/>
                <w:color w:val="000000"/>
                <w:sz w:val="18"/>
                <w:szCs w:val="18"/>
                <w:u w:val="none"/>
              </w:rPr>
              <w:t xml:space="preserve"> Advokát v civilním řízení I.</w:t>
            </w:r>
          </w:p>
        </w:tc>
        <w:tc>
          <w:tcPr>
            <w:tcW w:w="5029" w:type="dxa"/>
            <w:shd w:val="clear" w:color="auto" w:fill="auto"/>
          </w:tcPr>
          <w:p w14:paraId="286AEB90" w14:textId="77777777" w:rsidR="00EF228C" w:rsidRPr="00391F2F" w:rsidRDefault="00EF228C" w:rsidP="00794F3B">
            <w:pPr>
              <w:spacing w:line="240" w:lineRule="auto"/>
              <w:rPr>
                <w:rFonts w:ascii="Aptos Display" w:hAnsi="Aptos Display"/>
                <w:b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sz w:val="18"/>
                <w:szCs w:val="18"/>
              </w:rPr>
              <w:t>a) Advokát v civilním řízení II</w:t>
            </w:r>
            <w:r w:rsidR="00794F3B" w:rsidRPr="00391F2F">
              <w:rPr>
                <w:rFonts w:ascii="Aptos Display" w:hAnsi="Aptos Display"/>
                <w:b/>
                <w:sz w:val="18"/>
                <w:szCs w:val="18"/>
              </w:rPr>
              <w:t>.</w:t>
            </w:r>
          </w:p>
        </w:tc>
      </w:tr>
      <w:tr w:rsidR="00EF228C" w:rsidRPr="00391F2F" w14:paraId="57CCEEDB" w14:textId="77777777" w:rsidTr="00794F3B">
        <w:trPr>
          <w:trHeight w:val="226"/>
        </w:trPr>
        <w:tc>
          <w:tcPr>
            <w:tcW w:w="4605" w:type="dxa"/>
            <w:shd w:val="clear" w:color="auto" w:fill="auto"/>
          </w:tcPr>
          <w:p w14:paraId="121B1133" w14:textId="77777777" w:rsidR="00EF228C" w:rsidRPr="00391F2F" w:rsidRDefault="00EF228C" w:rsidP="00794F3B">
            <w:pPr>
              <w:spacing w:line="240" w:lineRule="auto"/>
              <w:rPr>
                <w:rFonts w:ascii="Aptos Display" w:hAnsi="Aptos Display"/>
                <w:b/>
                <w:color w:val="000000"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color w:val="000000"/>
                <w:sz w:val="18"/>
                <w:szCs w:val="18"/>
              </w:rPr>
              <w:t xml:space="preserve">b) Obhajoba v přípravném řízení </w:t>
            </w:r>
          </w:p>
        </w:tc>
        <w:tc>
          <w:tcPr>
            <w:tcW w:w="5029" w:type="dxa"/>
            <w:shd w:val="clear" w:color="auto" w:fill="auto"/>
          </w:tcPr>
          <w:p w14:paraId="336F81A2" w14:textId="77777777" w:rsidR="00EF228C" w:rsidRPr="00391F2F" w:rsidRDefault="00EF228C" w:rsidP="00794F3B">
            <w:pPr>
              <w:spacing w:line="240" w:lineRule="auto"/>
              <w:rPr>
                <w:rFonts w:ascii="Aptos Display" w:hAnsi="Aptos Display"/>
                <w:b/>
                <w:color w:val="000000"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color w:val="000000"/>
                <w:sz w:val="18"/>
                <w:szCs w:val="18"/>
              </w:rPr>
              <w:t xml:space="preserve">b) Obhajoba v řízení před soudem I. stupně </w:t>
            </w:r>
          </w:p>
        </w:tc>
      </w:tr>
      <w:tr w:rsidR="00EF228C" w:rsidRPr="00391F2F" w14:paraId="0B3D6FFD" w14:textId="77777777" w:rsidTr="00794F3B">
        <w:tc>
          <w:tcPr>
            <w:tcW w:w="4605" w:type="dxa"/>
            <w:shd w:val="clear" w:color="auto" w:fill="auto"/>
          </w:tcPr>
          <w:p w14:paraId="6BF41A94" w14:textId="77777777" w:rsidR="00EF228C" w:rsidRPr="00391F2F" w:rsidRDefault="00EF228C" w:rsidP="00794F3B">
            <w:pPr>
              <w:spacing w:line="240" w:lineRule="auto"/>
              <w:rPr>
                <w:rFonts w:ascii="Aptos Display" w:hAnsi="Aptos Display"/>
                <w:b/>
                <w:color w:val="000000"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color w:val="000000"/>
                <w:sz w:val="18"/>
                <w:szCs w:val="18"/>
              </w:rPr>
              <w:t xml:space="preserve">c) Zastupování advokátem ve správním řízení </w:t>
            </w:r>
          </w:p>
        </w:tc>
        <w:tc>
          <w:tcPr>
            <w:tcW w:w="5029" w:type="dxa"/>
            <w:shd w:val="clear" w:color="auto" w:fill="auto"/>
          </w:tcPr>
          <w:p w14:paraId="0EAC8380" w14:textId="77777777" w:rsidR="00EF228C" w:rsidRPr="00391F2F" w:rsidRDefault="00EF228C" w:rsidP="00794F3B">
            <w:pPr>
              <w:spacing w:line="240" w:lineRule="auto"/>
              <w:rPr>
                <w:rFonts w:ascii="Aptos Display" w:hAnsi="Aptos Display"/>
                <w:b/>
                <w:color w:val="000000"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color w:val="000000"/>
                <w:sz w:val="18"/>
                <w:szCs w:val="18"/>
              </w:rPr>
              <w:t>c) Řízení insolvenční</w:t>
            </w:r>
          </w:p>
        </w:tc>
      </w:tr>
    </w:tbl>
    <w:p w14:paraId="4EFDF003" w14:textId="77777777" w:rsidR="00EF228C" w:rsidRPr="00391F2F" w:rsidRDefault="00EF228C" w:rsidP="00EF228C">
      <w:pPr>
        <w:pStyle w:val="Nadpis3"/>
        <w:rPr>
          <w:rFonts w:ascii="Aptos Display" w:hAnsi="Aptos Display"/>
          <w:iCs/>
          <w:color w:val="000000"/>
          <w:sz w:val="18"/>
          <w:szCs w:val="18"/>
        </w:rPr>
      </w:pPr>
    </w:p>
    <w:p w14:paraId="7EED7848" w14:textId="77777777" w:rsidR="00EF228C" w:rsidRPr="00391F2F" w:rsidRDefault="00EF228C" w:rsidP="00794F3B">
      <w:pPr>
        <w:spacing w:after="0" w:line="240" w:lineRule="auto"/>
        <w:jc w:val="both"/>
        <w:rPr>
          <w:rFonts w:ascii="Aptos Display" w:eastAsia="Times New Roman" w:hAnsi="Aptos Display" w:cs="Times New Roman"/>
          <w:b/>
          <w:i/>
          <w:iCs/>
          <w:sz w:val="20"/>
          <w:szCs w:val="20"/>
          <w:u w:val="single"/>
          <w:lang w:eastAsia="cs-CZ"/>
        </w:rPr>
      </w:pPr>
      <w:r w:rsidRPr="00391F2F">
        <w:rPr>
          <w:rFonts w:ascii="Aptos Display" w:eastAsia="Times New Roman" w:hAnsi="Aptos Display" w:cs="Times New Roman"/>
          <w:b/>
          <w:i/>
          <w:iCs/>
          <w:sz w:val="20"/>
          <w:szCs w:val="20"/>
          <w:u w:val="single"/>
          <w:lang w:eastAsia="cs-CZ"/>
        </w:rPr>
        <w:t xml:space="preserve">Druhý rok trvání právní praxe </w:t>
      </w:r>
    </w:p>
    <w:p w14:paraId="772C5026" w14:textId="77777777" w:rsidR="00EF228C" w:rsidRPr="00391F2F" w:rsidRDefault="00EF228C" w:rsidP="00794F3B">
      <w:pPr>
        <w:spacing w:after="0" w:line="240" w:lineRule="auto"/>
        <w:jc w:val="both"/>
        <w:rPr>
          <w:rFonts w:ascii="Aptos Display" w:hAnsi="Aptos Display"/>
          <w:i/>
          <w:color w:val="000000"/>
          <w:sz w:val="20"/>
          <w:szCs w:val="20"/>
        </w:rPr>
      </w:pPr>
      <w:r w:rsidRPr="00391F2F">
        <w:rPr>
          <w:rFonts w:ascii="Aptos Display" w:hAnsi="Aptos Display"/>
          <w:i/>
          <w:color w:val="000000"/>
          <w:sz w:val="20"/>
          <w:szCs w:val="20"/>
        </w:rPr>
        <w:t xml:space="preserve">a) poskytování právních služeb v oblasti soukromého práva v rozsahu jednoho seminárního dne </w:t>
      </w:r>
    </w:p>
    <w:p w14:paraId="7A0BB484" w14:textId="77777777" w:rsidR="00EF228C" w:rsidRPr="00391F2F" w:rsidRDefault="00EF228C" w:rsidP="00794F3B">
      <w:pPr>
        <w:spacing w:after="0" w:line="240" w:lineRule="auto"/>
        <w:jc w:val="both"/>
        <w:rPr>
          <w:rFonts w:ascii="Aptos Display" w:hAnsi="Aptos Display"/>
          <w:i/>
          <w:color w:val="000000"/>
          <w:sz w:val="20"/>
          <w:szCs w:val="20"/>
        </w:rPr>
      </w:pPr>
      <w:r w:rsidRPr="00391F2F">
        <w:rPr>
          <w:rFonts w:ascii="Aptos Display" w:hAnsi="Aptos Display"/>
          <w:i/>
          <w:color w:val="000000"/>
          <w:sz w:val="20"/>
          <w:szCs w:val="20"/>
        </w:rPr>
        <w:t xml:space="preserve">b) poskytování právních služeb v oblasti veřejného práva v rozsahu jednoho seminárního dne </w:t>
      </w:r>
    </w:p>
    <w:p w14:paraId="2E192FC1" w14:textId="77777777" w:rsidR="00EF228C" w:rsidRPr="00391F2F" w:rsidRDefault="00EF228C" w:rsidP="00794F3B">
      <w:pPr>
        <w:spacing w:after="0" w:line="240" w:lineRule="auto"/>
        <w:jc w:val="both"/>
        <w:rPr>
          <w:rFonts w:ascii="Aptos Display" w:hAnsi="Aptos Display"/>
          <w:i/>
          <w:color w:val="000000"/>
          <w:sz w:val="20"/>
          <w:szCs w:val="20"/>
        </w:rPr>
      </w:pPr>
      <w:r w:rsidRPr="00391F2F">
        <w:rPr>
          <w:rFonts w:ascii="Aptos Display" w:hAnsi="Aptos Display"/>
          <w:i/>
          <w:color w:val="000000"/>
          <w:sz w:val="20"/>
          <w:szCs w:val="20"/>
        </w:rPr>
        <w:t>c) organizace a správa advokacie, advokátní etika a advokátní dovednosti v rozsahu jednoho seminárního dne</w:t>
      </w:r>
    </w:p>
    <w:p w14:paraId="1749C613" w14:textId="77777777" w:rsidR="00EF228C" w:rsidRPr="00391F2F" w:rsidRDefault="00EF228C" w:rsidP="00EF228C">
      <w:pPr>
        <w:pStyle w:val="Nadpis3"/>
        <w:rPr>
          <w:rFonts w:ascii="Aptos Display" w:hAnsi="Aptos Display" w:cs="Arial"/>
          <w:bCs/>
          <w:iCs/>
          <w:color w:val="000000"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5029"/>
      </w:tblGrid>
      <w:tr w:rsidR="00EF228C" w:rsidRPr="00391F2F" w14:paraId="7E1A2544" w14:textId="77777777" w:rsidTr="00794F3B">
        <w:tc>
          <w:tcPr>
            <w:tcW w:w="4605" w:type="dxa"/>
            <w:shd w:val="clear" w:color="auto" w:fill="auto"/>
          </w:tcPr>
          <w:p w14:paraId="04407AE8" w14:textId="77777777" w:rsidR="00EF228C" w:rsidRPr="00391F2F" w:rsidRDefault="00EF228C" w:rsidP="00C32689">
            <w:pPr>
              <w:pStyle w:val="Nadpis3"/>
              <w:rPr>
                <w:rFonts w:ascii="Aptos Display" w:hAnsi="Aptos Display" w:cs="Arial"/>
                <w:bCs/>
                <w:iCs/>
                <w:color w:val="000000"/>
                <w:sz w:val="18"/>
                <w:szCs w:val="18"/>
                <w:u w:val="none"/>
              </w:rPr>
            </w:pPr>
            <w:r w:rsidRPr="00391F2F">
              <w:rPr>
                <w:rFonts w:ascii="Aptos Display" w:hAnsi="Aptos Display"/>
                <w:color w:val="000000"/>
                <w:sz w:val="18"/>
                <w:szCs w:val="18"/>
                <w:u w:val="none"/>
              </w:rPr>
              <w:t>a)</w:t>
            </w:r>
            <w:r w:rsidRPr="00391F2F">
              <w:rPr>
                <w:rFonts w:ascii="Aptos Display" w:hAnsi="Aptos Display" w:cs="Arial"/>
                <w:bCs/>
                <w:iCs/>
                <w:color w:val="000000"/>
                <w:sz w:val="18"/>
                <w:szCs w:val="18"/>
                <w:u w:val="none"/>
              </w:rPr>
              <w:t xml:space="preserve"> Opravné prostředky v civilním řízení</w:t>
            </w:r>
          </w:p>
        </w:tc>
        <w:tc>
          <w:tcPr>
            <w:tcW w:w="5029" w:type="dxa"/>
            <w:shd w:val="clear" w:color="auto" w:fill="auto"/>
          </w:tcPr>
          <w:p w14:paraId="38B7CC01" w14:textId="77777777" w:rsidR="00EF228C" w:rsidRPr="00391F2F" w:rsidRDefault="00EF228C" w:rsidP="00C32689">
            <w:pPr>
              <w:rPr>
                <w:rFonts w:ascii="Aptos Display" w:hAnsi="Aptos Display"/>
                <w:b/>
                <w:color w:val="000000"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color w:val="000000"/>
                <w:sz w:val="18"/>
                <w:szCs w:val="18"/>
              </w:rPr>
              <w:t>a) Zvláštní řízení soudní, výkon rozhodnutí a exekuce</w:t>
            </w:r>
          </w:p>
        </w:tc>
      </w:tr>
      <w:tr w:rsidR="00EF228C" w:rsidRPr="00391F2F" w14:paraId="70A93105" w14:textId="77777777" w:rsidTr="00794F3B">
        <w:tc>
          <w:tcPr>
            <w:tcW w:w="4605" w:type="dxa"/>
            <w:shd w:val="clear" w:color="auto" w:fill="auto"/>
          </w:tcPr>
          <w:p w14:paraId="4C1498EA" w14:textId="77777777" w:rsidR="00EF228C" w:rsidRPr="00391F2F" w:rsidRDefault="00EF228C" w:rsidP="00C32689">
            <w:pPr>
              <w:rPr>
                <w:rFonts w:ascii="Aptos Display" w:hAnsi="Aptos Display"/>
                <w:b/>
                <w:color w:val="000000"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color w:val="000000"/>
                <w:sz w:val="18"/>
                <w:szCs w:val="18"/>
              </w:rPr>
              <w:t>b) Advokát před Ústavním soudem</w:t>
            </w:r>
          </w:p>
        </w:tc>
        <w:tc>
          <w:tcPr>
            <w:tcW w:w="5029" w:type="dxa"/>
            <w:shd w:val="clear" w:color="auto" w:fill="auto"/>
          </w:tcPr>
          <w:p w14:paraId="4D3B228C" w14:textId="77777777" w:rsidR="00EF228C" w:rsidRPr="00391F2F" w:rsidRDefault="00EF228C" w:rsidP="00C32689">
            <w:pPr>
              <w:rPr>
                <w:rFonts w:ascii="Aptos Display" w:hAnsi="Aptos Display"/>
                <w:b/>
                <w:color w:val="000000"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color w:val="000000"/>
                <w:sz w:val="18"/>
                <w:szCs w:val="18"/>
              </w:rPr>
              <w:t>b) Advokát před správními soudy</w:t>
            </w:r>
          </w:p>
        </w:tc>
      </w:tr>
      <w:tr w:rsidR="00EF228C" w:rsidRPr="00391F2F" w14:paraId="7DC09340" w14:textId="77777777" w:rsidTr="00794F3B">
        <w:tc>
          <w:tcPr>
            <w:tcW w:w="4605" w:type="dxa"/>
            <w:shd w:val="clear" w:color="auto" w:fill="auto"/>
          </w:tcPr>
          <w:p w14:paraId="25CA76B1" w14:textId="77777777" w:rsidR="00EF228C" w:rsidRPr="00391F2F" w:rsidRDefault="00EF228C" w:rsidP="00C32689">
            <w:pPr>
              <w:rPr>
                <w:rFonts w:ascii="Aptos Display" w:hAnsi="Aptos Display"/>
                <w:b/>
                <w:color w:val="000000"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color w:val="000000"/>
                <w:sz w:val="18"/>
                <w:szCs w:val="18"/>
              </w:rPr>
              <w:t>c) Advokátní tarif</w:t>
            </w:r>
          </w:p>
        </w:tc>
        <w:tc>
          <w:tcPr>
            <w:tcW w:w="5029" w:type="dxa"/>
            <w:shd w:val="clear" w:color="auto" w:fill="auto"/>
          </w:tcPr>
          <w:p w14:paraId="6338311A" w14:textId="77777777" w:rsidR="00EF228C" w:rsidRPr="00391F2F" w:rsidRDefault="00EF228C" w:rsidP="00C32689">
            <w:pPr>
              <w:rPr>
                <w:rFonts w:ascii="Aptos Display" w:hAnsi="Aptos Display"/>
                <w:b/>
                <w:color w:val="000000"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color w:val="000000"/>
                <w:sz w:val="18"/>
                <w:szCs w:val="18"/>
              </w:rPr>
              <w:t>c) Advokát, jednání s klientem, smluvní agenda a jiné projevy advokáta</w:t>
            </w:r>
          </w:p>
        </w:tc>
      </w:tr>
    </w:tbl>
    <w:p w14:paraId="5FDDF22A" w14:textId="77777777" w:rsidR="00794F3B" w:rsidRPr="00391F2F" w:rsidRDefault="00794F3B" w:rsidP="00EF228C">
      <w:pPr>
        <w:pStyle w:val="Nadpis3"/>
        <w:rPr>
          <w:rFonts w:ascii="Aptos Display" w:hAnsi="Aptos Display"/>
          <w:iCs/>
          <w:sz w:val="18"/>
          <w:szCs w:val="18"/>
        </w:rPr>
      </w:pPr>
    </w:p>
    <w:p w14:paraId="60A00F18" w14:textId="77777777" w:rsidR="00EF228C" w:rsidRPr="00391F2F" w:rsidRDefault="00EF228C" w:rsidP="00EF228C">
      <w:pPr>
        <w:pStyle w:val="Nadpis3"/>
        <w:rPr>
          <w:rFonts w:ascii="Aptos Display" w:hAnsi="Aptos Display"/>
          <w:i/>
          <w:iCs/>
          <w:sz w:val="20"/>
          <w:szCs w:val="20"/>
        </w:rPr>
      </w:pPr>
      <w:r w:rsidRPr="00391F2F">
        <w:rPr>
          <w:rFonts w:ascii="Aptos Display" w:hAnsi="Aptos Display"/>
          <w:i/>
          <w:iCs/>
          <w:sz w:val="20"/>
          <w:szCs w:val="20"/>
        </w:rPr>
        <w:t xml:space="preserve">Třetí rok trvání právní praxe </w:t>
      </w:r>
    </w:p>
    <w:p w14:paraId="777003C0" w14:textId="77777777" w:rsidR="00EF228C" w:rsidRPr="00391F2F" w:rsidRDefault="00EF228C" w:rsidP="00794F3B">
      <w:pPr>
        <w:spacing w:after="0" w:line="240" w:lineRule="auto"/>
        <w:rPr>
          <w:rFonts w:ascii="Aptos Display" w:hAnsi="Aptos Display"/>
          <w:i/>
          <w:color w:val="000000"/>
          <w:sz w:val="20"/>
          <w:szCs w:val="20"/>
        </w:rPr>
      </w:pPr>
      <w:r w:rsidRPr="00391F2F">
        <w:rPr>
          <w:rFonts w:ascii="Aptos Display" w:hAnsi="Aptos Display"/>
          <w:i/>
          <w:color w:val="000000"/>
          <w:sz w:val="20"/>
          <w:szCs w:val="20"/>
        </w:rPr>
        <w:t xml:space="preserve">a) poskytování právních služeb v oblasti soukromého práva v rozsahu jednoho seminárního dne </w:t>
      </w:r>
    </w:p>
    <w:p w14:paraId="1F4CDC81" w14:textId="77777777" w:rsidR="00EF228C" w:rsidRPr="00391F2F" w:rsidRDefault="00EF228C" w:rsidP="00794F3B">
      <w:pPr>
        <w:spacing w:after="0" w:line="240" w:lineRule="auto"/>
        <w:rPr>
          <w:rFonts w:ascii="Aptos Display" w:hAnsi="Aptos Display"/>
          <w:i/>
          <w:color w:val="000000"/>
          <w:sz w:val="20"/>
          <w:szCs w:val="20"/>
        </w:rPr>
      </w:pPr>
      <w:r w:rsidRPr="00391F2F">
        <w:rPr>
          <w:rFonts w:ascii="Aptos Display" w:hAnsi="Aptos Display"/>
          <w:i/>
          <w:color w:val="000000"/>
          <w:sz w:val="20"/>
          <w:szCs w:val="20"/>
        </w:rPr>
        <w:t xml:space="preserve">b) obhajoba v trestním řízení v rozsahu jednoho seminárního dne </w:t>
      </w:r>
    </w:p>
    <w:p w14:paraId="62B40F29" w14:textId="77777777" w:rsidR="00EF228C" w:rsidRPr="00391F2F" w:rsidRDefault="00EF228C" w:rsidP="00794F3B">
      <w:pPr>
        <w:spacing w:after="0" w:line="240" w:lineRule="auto"/>
        <w:rPr>
          <w:rFonts w:ascii="Aptos Display" w:hAnsi="Aptos Display"/>
          <w:i/>
          <w:color w:val="000000"/>
          <w:sz w:val="18"/>
          <w:szCs w:val="18"/>
        </w:rPr>
      </w:pPr>
      <w:r w:rsidRPr="00391F2F">
        <w:rPr>
          <w:rFonts w:ascii="Aptos Display" w:hAnsi="Aptos Display"/>
          <w:i/>
          <w:color w:val="000000"/>
          <w:sz w:val="20"/>
          <w:szCs w:val="20"/>
        </w:rPr>
        <w:t xml:space="preserve">c) organizace a správa advokacie, advokátní etika a advokátní dovednosti v rozsahu jednoho seminárního dne </w:t>
      </w:r>
    </w:p>
    <w:p w14:paraId="30B690FB" w14:textId="77777777" w:rsidR="00EF228C" w:rsidRPr="00391F2F" w:rsidRDefault="00EF228C" w:rsidP="00EF228C">
      <w:pPr>
        <w:spacing w:after="0"/>
        <w:rPr>
          <w:rFonts w:ascii="Aptos Display" w:hAnsi="Aptos Display"/>
          <w:color w:val="000000"/>
          <w:sz w:val="18"/>
          <w:szCs w:val="1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5029"/>
      </w:tblGrid>
      <w:tr w:rsidR="00EF228C" w:rsidRPr="00391F2F" w14:paraId="3FDAF8D3" w14:textId="77777777" w:rsidTr="00794F3B">
        <w:tc>
          <w:tcPr>
            <w:tcW w:w="4605" w:type="dxa"/>
            <w:shd w:val="clear" w:color="auto" w:fill="auto"/>
          </w:tcPr>
          <w:p w14:paraId="66E4B50A" w14:textId="77777777" w:rsidR="00EF228C" w:rsidRPr="00391F2F" w:rsidRDefault="00EF228C" w:rsidP="00C32689">
            <w:pPr>
              <w:pStyle w:val="Nadpis3"/>
              <w:rPr>
                <w:rFonts w:ascii="Aptos Display" w:hAnsi="Aptos Display" w:cs="Arial"/>
                <w:bCs/>
                <w:iCs/>
                <w:color w:val="000000"/>
                <w:sz w:val="18"/>
                <w:szCs w:val="18"/>
                <w:u w:val="none"/>
              </w:rPr>
            </w:pPr>
            <w:r w:rsidRPr="00391F2F">
              <w:rPr>
                <w:rFonts w:ascii="Aptos Display" w:hAnsi="Aptos Display"/>
                <w:sz w:val="18"/>
                <w:szCs w:val="18"/>
                <w:u w:val="none"/>
              </w:rPr>
              <w:t>a)</w:t>
            </w:r>
            <w:r w:rsidRPr="00391F2F">
              <w:rPr>
                <w:rFonts w:ascii="Aptos Display" w:hAnsi="Aptos Display" w:cs="Arial"/>
                <w:bCs/>
                <w:iCs/>
                <w:color w:val="000000"/>
                <w:sz w:val="18"/>
                <w:szCs w:val="18"/>
                <w:u w:val="none"/>
              </w:rPr>
              <w:t xml:space="preserve"> Veřejný rejstřík a korporace</w:t>
            </w:r>
          </w:p>
        </w:tc>
        <w:tc>
          <w:tcPr>
            <w:tcW w:w="5029" w:type="dxa"/>
            <w:shd w:val="clear" w:color="auto" w:fill="auto"/>
          </w:tcPr>
          <w:p w14:paraId="6F0221E3" w14:textId="77777777" w:rsidR="00EF228C" w:rsidRPr="00391F2F" w:rsidRDefault="00EF228C" w:rsidP="00C32689">
            <w:pPr>
              <w:rPr>
                <w:rFonts w:ascii="Aptos Display" w:hAnsi="Aptos Display"/>
                <w:b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sz w:val="18"/>
                <w:szCs w:val="18"/>
              </w:rPr>
              <w:t>a) Činnost advokáta v oblasti absolutních majetkových práv</w:t>
            </w:r>
          </w:p>
        </w:tc>
      </w:tr>
      <w:tr w:rsidR="00EF228C" w:rsidRPr="00391F2F" w14:paraId="7BCC4DE7" w14:textId="77777777" w:rsidTr="00794F3B">
        <w:tc>
          <w:tcPr>
            <w:tcW w:w="4605" w:type="dxa"/>
            <w:shd w:val="clear" w:color="auto" w:fill="auto"/>
          </w:tcPr>
          <w:p w14:paraId="4E889E21" w14:textId="20360868" w:rsidR="00EF228C" w:rsidRPr="00391F2F" w:rsidRDefault="00EF228C" w:rsidP="00C32689">
            <w:pPr>
              <w:rPr>
                <w:rFonts w:ascii="Aptos Display" w:hAnsi="Aptos Display"/>
                <w:b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sz w:val="18"/>
                <w:szCs w:val="18"/>
              </w:rPr>
              <w:t>b) Obhajoba v řízení před soudem II. stupně</w:t>
            </w:r>
            <w:r w:rsidR="00B660D6">
              <w:rPr>
                <w:rFonts w:ascii="Aptos Display" w:hAnsi="Aptos Display"/>
                <w:b/>
                <w:sz w:val="18"/>
                <w:szCs w:val="18"/>
              </w:rPr>
              <w:br/>
              <w:t xml:space="preserve">     </w:t>
            </w:r>
            <w:r w:rsidRPr="00391F2F">
              <w:rPr>
                <w:rFonts w:ascii="Aptos Display" w:hAnsi="Aptos Display"/>
                <w:b/>
                <w:sz w:val="18"/>
                <w:szCs w:val="18"/>
              </w:rPr>
              <w:t>a mimořádné opravné prostředky</w:t>
            </w:r>
          </w:p>
        </w:tc>
        <w:tc>
          <w:tcPr>
            <w:tcW w:w="5029" w:type="dxa"/>
            <w:shd w:val="clear" w:color="auto" w:fill="auto"/>
          </w:tcPr>
          <w:p w14:paraId="6A272BE8" w14:textId="77777777" w:rsidR="00EF228C" w:rsidRPr="00391F2F" w:rsidRDefault="00EF228C" w:rsidP="00C32689">
            <w:pPr>
              <w:rPr>
                <w:rFonts w:ascii="Aptos Display" w:hAnsi="Aptos Display"/>
                <w:b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sz w:val="18"/>
                <w:szCs w:val="18"/>
              </w:rPr>
              <w:t>b) Obhajoba ve věcech mladistvých</w:t>
            </w:r>
          </w:p>
        </w:tc>
      </w:tr>
      <w:tr w:rsidR="00EF228C" w:rsidRPr="00391F2F" w14:paraId="0843925F" w14:textId="77777777" w:rsidTr="00794F3B">
        <w:tc>
          <w:tcPr>
            <w:tcW w:w="4605" w:type="dxa"/>
            <w:shd w:val="clear" w:color="auto" w:fill="auto"/>
          </w:tcPr>
          <w:p w14:paraId="67D582F6" w14:textId="77777777" w:rsidR="00EF228C" w:rsidRPr="00391F2F" w:rsidRDefault="00EF228C" w:rsidP="00C32689">
            <w:pPr>
              <w:rPr>
                <w:rFonts w:ascii="Aptos Display" w:hAnsi="Aptos Display"/>
                <w:b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sz w:val="18"/>
                <w:szCs w:val="18"/>
              </w:rPr>
              <w:t>c) Povinnosti advokáta dle zákona č. 253/2008 Sb.</w:t>
            </w:r>
          </w:p>
        </w:tc>
        <w:tc>
          <w:tcPr>
            <w:tcW w:w="5029" w:type="dxa"/>
            <w:shd w:val="clear" w:color="auto" w:fill="auto"/>
          </w:tcPr>
          <w:p w14:paraId="050E14E0" w14:textId="77777777" w:rsidR="00EF228C" w:rsidRPr="00391F2F" w:rsidRDefault="00EF228C" w:rsidP="00C32689">
            <w:pPr>
              <w:rPr>
                <w:rFonts w:ascii="Aptos Display" w:hAnsi="Aptos Display"/>
                <w:b/>
                <w:sz w:val="18"/>
                <w:szCs w:val="18"/>
              </w:rPr>
            </w:pPr>
            <w:r w:rsidRPr="00391F2F">
              <w:rPr>
                <w:rFonts w:ascii="Aptos Display" w:hAnsi="Aptos Display"/>
                <w:b/>
                <w:sz w:val="18"/>
                <w:szCs w:val="18"/>
              </w:rPr>
              <w:t>c) Stavovské předpisy</w:t>
            </w:r>
          </w:p>
        </w:tc>
      </w:tr>
    </w:tbl>
    <w:p w14:paraId="2352F472" w14:textId="77777777" w:rsidR="00125485" w:rsidRPr="00391F2F" w:rsidRDefault="00125485" w:rsidP="00794F3B">
      <w:pPr>
        <w:pStyle w:val="Nadpis3"/>
        <w:rPr>
          <w:rFonts w:ascii="Aptos Display" w:hAnsi="Aptos Display"/>
          <w:i/>
          <w:iCs/>
          <w:sz w:val="18"/>
          <w:szCs w:val="18"/>
        </w:rPr>
      </w:pPr>
    </w:p>
    <w:p w14:paraId="40787A27" w14:textId="77777777" w:rsidR="00EF228C" w:rsidRPr="00391F2F" w:rsidRDefault="00EF228C" w:rsidP="00794F3B">
      <w:pPr>
        <w:pStyle w:val="Nadpis3"/>
        <w:rPr>
          <w:rFonts w:ascii="Aptos Display" w:hAnsi="Aptos Display"/>
          <w:i/>
          <w:iCs/>
          <w:sz w:val="20"/>
          <w:szCs w:val="20"/>
        </w:rPr>
      </w:pPr>
      <w:r w:rsidRPr="00391F2F">
        <w:rPr>
          <w:rFonts w:ascii="Aptos Display" w:hAnsi="Aptos Display"/>
          <w:i/>
          <w:iCs/>
          <w:sz w:val="20"/>
          <w:szCs w:val="20"/>
        </w:rPr>
        <w:t>Polodenní volitelné semináře (3 seminární dny):</w:t>
      </w:r>
    </w:p>
    <w:p w14:paraId="68F3019B" w14:textId="0FE7F5DC" w:rsidR="00125485" w:rsidRPr="00391F2F" w:rsidRDefault="00EF228C" w:rsidP="004415A0">
      <w:pPr>
        <w:jc w:val="both"/>
        <w:rPr>
          <w:rFonts w:ascii="Aptos Display" w:hAnsi="Aptos Display" w:cs="Arial"/>
          <w:sz w:val="20"/>
          <w:szCs w:val="20"/>
        </w:rPr>
      </w:pPr>
      <w:r w:rsidRPr="00391F2F">
        <w:rPr>
          <w:rFonts w:ascii="Aptos Display" w:hAnsi="Aptos Display"/>
          <w:sz w:val="20"/>
          <w:szCs w:val="20"/>
        </w:rPr>
        <w:t>Vedení advokátní kanceláře - Trestní odpovědnost právnických osob - Etika a slovní projevy advokáta - Advokát a jeho klient - Právo na spravedlivý proces a rozhodování nejvyšších soudů - Evropské</w:t>
      </w:r>
      <w:r w:rsidR="00BF61FA" w:rsidRPr="00391F2F">
        <w:rPr>
          <w:rFonts w:ascii="Aptos Display" w:hAnsi="Aptos Display"/>
          <w:sz w:val="20"/>
          <w:szCs w:val="20"/>
        </w:rPr>
        <w:t xml:space="preserve"> mezinárodní právo soukromé a procesní</w:t>
      </w:r>
      <w:r w:rsidRPr="00391F2F">
        <w:rPr>
          <w:rFonts w:ascii="Aptos Display" w:hAnsi="Aptos Display"/>
          <w:sz w:val="20"/>
          <w:szCs w:val="20"/>
        </w:rPr>
        <w:t xml:space="preserve"> – Relativní majetková práva – Obchodní korporace – Postup obhájce v konkrétní věci – </w:t>
      </w:r>
      <w:r w:rsidR="004415A0" w:rsidRPr="00391F2F">
        <w:rPr>
          <w:rFonts w:ascii="Aptos Display" w:hAnsi="Aptos Display"/>
          <w:sz w:val="20"/>
          <w:szCs w:val="20"/>
        </w:rPr>
        <w:t xml:space="preserve">Výslech v trestním řízení - </w:t>
      </w:r>
      <w:r w:rsidRPr="00391F2F">
        <w:rPr>
          <w:rFonts w:ascii="Aptos Display" w:hAnsi="Aptos Display"/>
          <w:sz w:val="20"/>
          <w:szCs w:val="20"/>
        </w:rPr>
        <w:t>Náhrada škody v souvislosti s výkonem advokacie a pojištění proti škodě – Mediace – Výkon a přeměna trestu, podmíněné propouštění, přeřazení a přemístění odsouzených – Ochrana osobních údajů - Procesní aspekty vybraných soudních řízení v obchodních věcech</w:t>
      </w:r>
      <w:r w:rsidR="006A35F6" w:rsidRPr="00391F2F">
        <w:rPr>
          <w:rFonts w:ascii="Aptos Display" w:hAnsi="Aptos Display"/>
          <w:sz w:val="20"/>
          <w:szCs w:val="20"/>
        </w:rPr>
        <w:t xml:space="preserve"> - Práce se zranitelnými a zraněnými klienty</w:t>
      </w:r>
      <w:r w:rsidR="004415A0" w:rsidRPr="00391F2F">
        <w:rPr>
          <w:rFonts w:ascii="Aptos Display" w:hAnsi="Aptos Display" w:cs="Arial"/>
          <w:sz w:val="20"/>
          <w:szCs w:val="20"/>
        </w:rPr>
        <w:t xml:space="preserve"> </w:t>
      </w:r>
    </w:p>
    <w:p w14:paraId="7C2C16C0" w14:textId="56B0F785" w:rsidR="00391F2F" w:rsidRPr="00391F2F" w:rsidRDefault="00EF228C" w:rsidP="00391F2F">
      <w:pPr>
        <w:rPr>
          <w:rFonts w:ascii="Aptos Display" w:hAnsi="Aptos Display"/>
          <w:sz w:val="18"/>
          <w:szCs w:val="18"/>
        </w:rPr>
      </w:pPr>
      <w:r w:rsidRPr="00391F2F">
        <w:rPr>
          <w:rFonts w:ascii="Aptos Display" w:hAnsi="Aptos Display"/>
          <w:b/>
          <w:sz w:val="20"/>
          <w:szCs w:val="20"/>
        </w:rPr>
        <w:t xml:space="preserve">Místo konání seminářů: </w:t>
      </w:r>
      <w:r w:rsidRPr="00391F2F">
        <w:rPr>
          <w:rFonts w:ascii="Aptos Display" w:hAnsi="Aptos Display"/>
          <w:b/>
          <w:sz w:val="20"/>
          <w:szCs w:val="20"/>
        </w:rPr>
        <w:tab/>
      </w:r>
      <w:r w:rsidRPr="00391F2F">
        <w:rPr>
          <w:rFonts w:ascii="Aptos Display" w:hAnsi="Aptos Display"/>
          <w:b/>
          <w:sz w:val="20"/>
          <w:szCs w:val="20"/>
        </w:rPr>
        <w:tab/>
        <w:t>Praha, Brno</w:t>
      </w:r>
      <w:r w:rsidR="00125485" w:rsidRPr="00391F2F">
        <w:rPr>
          <w:rFonts w:ascii="Aptos Display" w:hAnsi="Aptos Display"/>
          <w:b/>
          <w:sz w:val="20"/>
          <w:szCs w:val="20"/>
        </w:rPr>
        <w:br/>
      </w:r>
      <w:r w:rsidRPr="00391F2F">
        <w:rPr>
          <w:rFonts w:ascii="Aptos Display" w:hAnsi="Aptos Display"/>
          <w:b/>
          <w:sz w:val="20"/>
          <w:szCs w:val="20"/>
        </w:rPr>
        <w:t xml:space="preserve">Termíny konání seminářů: </w:t>
      </w:r>
      <w:r w:rsidRPr="00391F2F">
        <w:rPr>
          <w:rFonts w:ascii="Aptos Display" w:hAnsi="Aptos Display"/>
          <w:b/>
          <w:sz w:val="20"/>
          <w:szCs w:val="20"/>
        </w:rPr>
        <w:tab/>
        <w:t>průběžně zveřejňovány na webu České advokátní komory</w:t>
      </w:r>
      <w:r w:rsidR="00391F2F" w:rsidRPr="00391F2F">
        <w:rPr>
          <w:rFonts w:ascii="Aptos Display" w:hAnsi="Aptos Display"/>
          <w:sz w:val="18"/>
          <w:szCs w:val="18"/>
        </w:rPr>
        <w:t xml:space="preserve"> </w:t>
      </w:r>
      <w:r w:rsidR="00391F2F" w:rsidRPr="00391F2F">
        <w:rPr>
          <w:rFonts w:ascii="Aptos Display" w:hAnsi="Aptos Display"/>
          <w:sz w:val="18"/>
          <w:szCs w:val="18"/>
        </w:rPr>
        <w:br/>
        <w:t>Vypracovali: JUDr. Radim Miketa, Ing. Lenka Matoušková</w:t>
      </w:r>
    </w:p>
    <w:sectPr w:rsidR="00391F2F" w:rsidRPr="00391F2F" w:rsidSect="00391F2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6" w:bottom="851" w:left="1418" w:header="45" w:footer="3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17BDC" w14:textId="77777777" w:rsidR="001737D0" w:rsidRDefault="001737D0" w:rsidP="00AF5BED">
      <w:r>
        <w:separator/>
      </w:r>
    </w:p>
    <w:p w14:paraId="7E99942A" w14:textId="77777777" w:rsidR="001737D0" w:rsidRDefault="001737D0" w:rsidP="00AF5BED"/>
  </w:endnote>
  <w:endnote w:type="continuationSeparator" w:id="0">
    <w:p w14:paraId="022A7E7B" w14:textId="77777777" w:rsidR="001737D0" w:rsidRDefault="001737D0" w:rsidP="00AF5BED">
      <w:r>
        <w:continuationSeparator/>
      </w:r>
    </w:p>
    <w:p w14:paraId="3342EF94" w14:textId="77777777" w:rsidR="001737D0" w:rsidRDefault="001737D0" w:rsidP="00AF5B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64BB59B-850C-4CD9-8C4F-CEBEC827BE2F}"/>
    <w:embedBold r:id="rId2" w:fontKey="{82D78FF4-83CB-4723-8B0A-F9D78B3AF68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90F3A36-7984-4AF4-8EFA-DD4791EE11B6}"/>
    <w:embedBold r:id="rId4" w:fontKey="{FAF1DFED-C074-42B0-AC6B-C8E12B95BCC9}"/>
    <w:embedItalic r:id="rId5" w:fontKey="{F7266CC7-0834-4C68-AB5E-A51104750056}"/>
    <w:embedBoldItalic r:id="rId6" w:fontKey="{7F7C9779-7FC1-4114-A6A6-8FFE4AF970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3713174"/>
      <w:docPartObj>
        <w:docPartGallery w:val="Page Numbers (Bottom of Page)"/>
        <w:docPartUnique/>
      </w:docPartObj>
    </w:sdtPr>
    <w:sdtEndPr>
      <w:rPr>
        <w:b/>
      </w:rPr>
    </w:sdtEndPr>
    <w:sdtContent>
      <w:p w14:paraId="3C3AE16E" w14:textId="77777777" w:rsidR="006D2750" w:rsidRPr="00AF5BED" w:rsidRDefault="006D2750" w:rsidP="00AF5BED">
        <w:pPr>
          <w:pStyle w:val="Zpat"/>
          <w:jc w:val="right"/>
          <w:rPr>
            <w:b/>
          </w:rPr>
        </w:pPr>
        <w:r w:rsidRPr="00AF5BED">
          <w:rPr>
            <w:b/>
          </w:rPr>
          <w:fldChar w:fldCharType="begin"/>
        </w:r>
        <w:r w:rsidRPr="00AF5BED">
          <w:rPr>
            <w:b/>
          </w:rPr>
          <w:instrText>PAGE   \* MERGEFORMAT</w:instrText>
        </w:r>
        <w:r w:rsidRPr="00AF5BED">
          <w:rPr>
            <w:b/>
          </w:rPr>
          <w:fldChar w:fldCharType="separate"/>
        </w:r>
        <w:r w:rsidR="00571FE9">
          <w:rPr>
            <w:b/>
            <w:noProof/>
          </w:rPr>
          <w:t>2</w:t>
        </w:r>
        <w:r w:rsidRPr="00AF5BED">
          <w:rPr>
            <w:b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EE62A" w14:textId="77777777" w:rsidR="00391F2F" w:rsidRPr="00C467D7" w:rsidRDefault="00391F2F" w:rsidP="00391F2F">
    <w:pPr>
      <w:pStyle w:val="Zpat"/>
      <w:pBdr>
        <w:top w:val="single" w:sz="4" w:space="3" w:color="004985"/>
      </w:pBdr>
      <w:rPr>
        <w:rFonts w:ascii="Segoe UI" w:hAnsi="Segoe UI" w:cs="Segoe UI"/>
        <w:noProof/>
        <w:lang w:eastAsia="cs-CZ"/>
      </w:rPr>
    </w:pPr>
    <w:r w:rsidRPr="00C467D7">
      <w:rPr>
        <w:rStyle w:val="ZpatChar"/>
        <w:rFonts w:ascii="Segoe UI" w:hAnsi="Segoe UI" w:cs="Segoe UI"/>
        <w:b/>
      </w:rPr>
      <w:t>Česká advokátní komora</w:t>
    </w:r>
    <w:r w:rsidRPr="00C467D7">
      <w:rPr>
        <w:rStyle w:val="ZpatChar"/>
        <w:rFonts w:ascii="Segoe UI" w:hAnsi="Segoe UI" w:cs="Segoe UI"/>
      </w:rPr>
      <w:t xml:space="preserve">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Národní tř. 16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110 00 Praha 1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Česká republika</w:t>
    </w:r>
    <w:r w:rsidRPr="00C467D7">
      <w:rPr>
        <w:rFonts w:ascii="Segoe UI" w:hAnsi="Segoe UI" w:cs="Segoe UI"/>
        <w:noProof/>
        <w:lang w:eastAsia="cs-CZ"/>
      </w:rPr>
      <w:t xml:space="preserve"> </w:t>
    </w:r>
  </w:p>
  <w:p w14:paraId="7E709D5D" w14:textId="77777777" w:rsidR="00391F2F" w:rsidRDefault="00391F2F" w:rsidP="00391F2F">
    <w:pPr>
      <w:pStyle w:val="Zpat"/>
    </w:pPr>
    <w:r w:rsidRPr="0012128E">
      <w:rPr>
        <w:rFonts w:ascii="Segoe UI" w:hAnsi="Segoe UI" w:cs="Segoe UI"/>
        <w:b/>
      </w:rPr>
      <w:t>Odbor výchovy a vzdělávání</w:t>
    </w:r>
    <w:r w:rsidRPr="00C467D7">
      <w:rPr>
        <w:rStyle w:val="ZpatChar"/>
        <w:rFonts w:ascii="Segoe UI" w:hAnsi="Segoe UI" w:cs="Segoe UI"/>
      </w:rPr>
      <w:t xml:space="preserve">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tel.: 273 193 111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e-mail: </w:t>
    </w:r>
    <w:r w:rsidRPr="00E36E58">
      <w:rPr>
        <w:rStyle w:val="ZpatChar"/>
        <w:rFonts w:ascii="Segoe UI" w:hAnsi="Segoe UI" w:cs="Segoe UI"/>
      </w:rPr>
      <w:t>vychova</w:t>
    </w:r>
    <w:r w:rsidRPr="00C467D7">
      <w:rPr>
        <w:rStyle w:val="ZpatChar"/>
        <w:rFonts w:ascii="Segoe UI" w:hAnsi="Segoe UI" w:cs="Segoe UI"/>
      </w:rPr>
      <w:t xml:space="preserve">@cak.cz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www.cak.cz</w:t>
    </w:r>
  </w:p>
  <w:p w14:paraId="195B015E" w14:textId="62351977" w:rsidR="00263C89" w:rsidRPr="00391F2F" w:rsidRDefault="00263C89" w:rsidP="00391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C7684" w14:textId="77777777" w:rsidR="001737D0" w:rsidRDefault="001737D0" w:rsidP="00AF5BED">
      <w:bookmarkStart w:id="0" w:name="_Hlk480209779"/>
      <w:bookmarkEnd w:id="0"/>
      <w:r>
        <w:separator/>
      </w:r>
    </w:p>
    <w:p w14:paraId="75CB9418" w14:textId="77777777" w:rsidR="001737D0" w:rsidRDefault="001737D0" w:rsidP="00AF5BED"/>
  </w:footnote>
  <w:footnote w:type="continuationSeparator" w:id="0">
    <w:p w14:paraId="1BF3DAB5" w14:textId="77777777" w:rsidR="001737D0" w:rsidRDefault="001737D0" w:rsidP="00AF5BED">
      <w:r>
        <w:continuationSeparator/>
      </w:r>
    </w:p>
    <w:p w14:paraId="751A1962" w14:textId="77777777" w:rsidR="001737D0" w:rsidRDefault="001737D0" w:rsidP="00AF5B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02670" w14:textId="77777777" w:rsidR="006D2750" w:rsidRDefault="00571FE9" w:rsidP="00AF5BE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9530DF5" wp14:editId="624B433F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392400" cy="169200"/>
          <wp:effectExtent l="0" t="0" r="8255" b="2540"/>
          <wp:wrapNone/>
          <wp:docPr id="1718456217" name="Obrázek 1718456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K logo 100-60-0-30_bez_text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" cy="1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2750">
      <w:rPr>
        <w:noProof/>
        <w:lang w:eastAsia="cs-CZ"/>
      </w:rPr>
      <w:t xml:space="preserve"> </w:t>
    </w:r>
  </w:p>
  <w:p w14:paraId="2B1F7639" w14:textId="77777777" w:rsidR="006D2750" w:rsidRDefault="006D2750" w:rsidP="00AF5B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EB666" w14:textId="5EE3746A" w:rsidR="000F1AA5" w:rsidRDefault="009D3677" w:rsidP="00AF5BED">
    <w:pPr>
      <w:pStyle w:val="Zhlav"/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47D20A82" wp14:editId="3C573423">
          <wp:simplePos x="0" y="0"/>
          <wp:positionH relativeFrom="margin">
            <wp:posOffset>-376555</wp:posOffset>
          </wp:positionH>
          <wp:positionV relativeFrom="paragraph">
            <wp:posOffset>148590</wp:posOffset>
          </wp:positionV>
          <wp:extent cx="6553200" cy="774065"/>
          <wp:effectExtent l="0" t="0" r="0" b="0"/>
          <wp:wrapTopAndBottom/>
          <wp:docPr id="1071436974" name="Obrázek 1071436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991830" name="Obrázek 2709918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77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AF1A1F"/>
    <w:multiLevelType w:val="multilevel"/>
    <w:tmpl w:val="FACE5998"/>
    <w:lvl w:ilvl="0">
      <w:start w:val="1"/>
      <w:numFmt w:val="decimal"/>
      <w:pStyle w:val="Textodstavce"/>
      <w:isLgl/>
      <w:lvlText w:val="(%1)"/>
      <w:lvlJc w:val="left"/>
      <w:pPr>
        <w:tabs>
          <w:tab w:val="num" w:pos="783"/>
        </w:tabs>
        <w:ind w:left="1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567"/>
        </w:tabs>
        <w:ind w:left="567" w:hanging="425"/>
      </w:pPr>
      <w:rPr>
        <w:vertAlign w:val="baseline"/>
      </w:r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5"/>
      </w:pPr>
    </w:lvl>
    <w:lvl w:ilvl="3">
      <w:start w:val="1"/>
      <w:numFmt w:val="decimal"/>
      <w:lvlText w:val="(%4)"/>
      <w:lvlJc w:val="left"/>
      <w:pPr>
        <w:tabs>
          <w:tab w:val="num" w:pos="1441"/>
        </w:tabs>
        <w:ind w:left="1441" w:hanging="360"/>
      </w:pPr>
    </w:lvl>
    <w:lvl w:ilvl="4">
      <w:start w:val="1"/>
      <w:numFmt w:val="lowerLetter"/>
      <w:lvlText w:val="(%5)"/>
      <w:lvlJc w:val="left"/>
      <w:pPr>
        <w:tabs>
          <w:tab w:val="num" w:pos="1801"/>
        </w:tabs>
        <w:ind w:left="1801" w:hanging="360"/>
      </w:pPr>
    </w:lvl>
    <w:lvl w:ilvl="5">
      <w:start w:val="1"/>
      <w:numFmt w:val="lowerRoman"/>
      <w:lvlText w:val="(%6)"/>
      <w:lvlJc w:val="left"/>
      <w:pPr>
        <w:tabs>
          <w:tab w:val="num" w:pos="2521"/>
        </w:tabs>
        <w:ind w:left="2161" w:hanging="360"/>
      </w:pPr>
    </w:lvl>
    <w:lvl w:ilvl="6">
      <w:start w:val="1"/>
      <w:numFmt w:val="decimal"/>
      <w:lvlText w:val="%7."/>
      <w:lvlJc w:val="left"/>
      <w:pPr>
        <w:tabs>
          <w:tab w:val="num" w:pos="2521"/>
        </w:tabs>
        <w:ind w:left="2521" w:hanging="360"/>
      </w:pPr>
    </w:lvl>
    <w:lvl w:ilvl="7">
      <w:start w:val="1"/>
      <w:numFmt w:val="lowerLetter"/>
      <w:lvlText w:val="%8."/>
      <w:lvlJc w:val="left"/>
      <w:pPr>
        <w:tabs>
          <w:tab w:val="num" w:pos="2881"/>
        </w:tabs>
        <w:ind w:left="2881" w:hanging="360"/>
      </w:pPr>
    </w:lvl>
    <w:lvl w:ilvl="8">
      <w:start w:val="1"/>
      <w:numFmt w:val="lowerRoman"/>
      <w:lvlText w:val="%9."/>
      <w:lvlJc w:val="left"/>
      <w:pPr>
        <w:tabs>
          <w:tab w:val="num" w:pos="3601"/>
        </w:tabs>
        <w:ind w:left="3241" w:hanging="360"/>
      </w:pPr>
    </w:lvl>
  </w:abstractNum>
  <w:num w:numId="1" w16cid:durableId="324407192">
    <w:abstractNumId w:val="0"/>
  </w:num>
  <w:num w:numId="2" w16cid:durableId="8236192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211237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attachedTemplate r:id="rId1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72C"/>
    <w:rsid w:val="0003507D"/>
    <w:rsid w:val="00056CC2"/>
    <w:rsid w:val="000931A5"/>
    <w:rsid w:val="000976F3"/>
    <w:rsid w:val="000C47FC"/>
    <w:rsid w:val="000F1AA5"/>
    <w:rsid w:val="00125485"/>
    <w:rsid w:val="00150705"/>
    <w:rsid w:val="00152E7C"/>
    <w:rsid w:val="001737D0"/>
    <w:rsid w:val="001A2318"/>
    <w:rsid w:val="001D7174"/>
    <w:rsid w:val="00210018"/>
    <w:rsid w:val="0022115F"/>
    <w:rsid w:val="00254C40"/>
    <w:rsid w:val="002561B1"/>
    <w:rsid w:val="0026362F"/>
    <w:rsid w:val="00263C89"/>
    <w:rsid w:val="00292091"/>
    <w:rsid w:val="002A25D1"/>
    <w:rsid w:val="00391F2F"/>
    <w:rsid w:val="003E19AB"/>
    <w:rsid w:val="003E252F"/>
    <w:rsid w:val="003E60F0"/>
    <w:rsid w:val="00435B2D"/>
    <w:rsid w:val="004415A0"/>
    <w:rsid w:val="00443CE1"/>
    <w:rsid w:val="004949C2"/>
    <w:rsid w:val="004B0A86"/>
    <w:rsid w:val="00571FE9"/>
    <w:rsid w:val="005759CD"/>
    <w:rsid w:val="00577860"/>
    <w:rsid w:val="00623CBA"/>
    <w:rsid w:val="00630153"/>
    <w:rsid w:val="00652E90"/>
    <w:rsid w:val="00666E7B"/>
    <w:rsid w:val="00684465"/>
    <w:rsid w:val="006965BB"/>
    <w:rsid w:val="006A35F6"/>
    <w:rsid w:val="006A743D"/>
    <w:rsid w:val="006B70C1"/>
    <w:rsid w:val="006D2750"/>
    <w:rsid w:val="00711820"/>
    <w:rsid w:val="00721C2E"/>
    <w:rsid w:val="00744BB6"/>
    <w:rsid w:val="0075413F"/>
    <w:rsid w:val="00794F3B"/>
    <w:rsid w:val="007B4538"/>
    <w:rsid w:val="007C2729"/>
    <w:rsid w:val="007D2060"/>
    <w:rsid w:val="007F69EC"/>
    <w:rsid w:val="00825E45"/>
    <w:rsid w:val="008C0965"/>
    <w:rsid w:val="008D1091"/>
    <w:rsid w:val="008F4542"/>
    <w:rsid w:val="0092554E"/>
    <w:rsid w:val="00971B6B"/>
    <w:rsid w:val="009C5A1F"/>
    <w:rsid w:val="009D3677"/>
    <w:rsid w:val="00A374A4"/>
    <w:rsid w:val="00A42165"/>
    <w:rsid w:val="00A501BF"/>
    <w:rsid w:val="00A562CB"/>
    <w:rsid w:val="00A86D80"/>
    <w:rsid w:val="00AD0CC2"/>
    <w:rsid w:val="00AD4AED"/>
    <w:rsid w:val="00AE5491"/>
    <w:rsid w:val="00AF5BED"/>
    <w:rsid w:val="00B660D6"/>
    <w:rsid w:val="00B76306"/>
    <w:rsid w:val="00B84268"/>
    <w:rsid w:val="00BB072C"/>
    <w:rsid w:val="00BB0BF1"/>
    <w:rsid w:val="00BD3E93"/>
    <w:rsid w:val="00BF349E"/>
    <w:rsid w:val="00BF61FA"/>
    <w:rsid w:val="00C43B71"/>
    <w:rsid w:val="00C64C6B"/>
    <w:rsid w:val="00C93790"/>
    <w:rsid w:val="00CA5FAA"/>
    <w:rsid w:val="00D2427D"/>
    <w:rsid w:val="00D73D00"/>
    <w:rsid w:val="00DB29EF"/>
    <w:rsid w:val="00E00D26"/>
    <w:rsid w:val="00E0733D"/>
    <w:rsid w:val="00E24C20"/>
    <w:rsid w:val="00E6262F"/>
    <w:rsid w:val="00EC4CA9"/>
    <w:rsid w:val="00EE3C45"/>
    <w:rsid w:val="00EF228C"/>
    <w:rsid w:val="00F200A1"/>
    <w:rsid w:val="00F23604"/>
    <w:rsid w:val="00F36CB4"/>
    <w:rsid w:val="00F44169"/>
    <w:rsid w:val="00F45FCA"/>
    <w:rsid w:val="00F465C0"/>
    <w:rsid w:val="00F96639"/>
    <w:rsid w:val="00FB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E22DB0C"/>
  <w15:chartTrackingRefBased/>
  <w15:docId w15:val="{456B5E6D-D9BF-49BF-8CAC-608261A4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76F3"/>
    <w:pPr>
      <w:spacing w:after="200" w:line="276" w:lineRule="auto"/>
    </w:pPr>
  </w:style>
  <w:style w:type="paragraph" w:styleId="Nadpis3">
    <w:name w:val="heading 3"/>
    <w:basedOn w:val="Normln"/>
    <w:next w:val="Normln"/>
    <w:link w:val="Nadpis3Char"/>
    <w:qFormat/>
    <w:rsid w:val="00EF228C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262F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3"/>
    </w:rPr>
  </w:style>
  <w:style w:type="character" w:customStyle="1" w:styleId="ZhlavChar">
    <w:name w:val="Záhlaví Char"/>
    <w:basedOn w:val="Standardnpsmoodstavce"/>
    <w:link w:val="Zhlav"/>
    <w:uiPriority w:val="99"/>
    <w:rsid w:val="00E6262F"/>
  </w:style>
  <w:style w:type="paragraph" w:styleId="Zpat">
    <w:name w:val="footer"/>
    <w:basedOn w:val="Normln"/>
    <w:link w:val="ZpatChar"/>
    <w:uiPriority w:val="99"/>
    <w:unhideWhenUsed/>
    <w:rsid w:val="00AF5BED"/>
    <w:pPr>
      <w:tabs>
        <w:tab w:val="center" w:pos="4536"/>
        <w:tab w:val="right" w:pos="9072"/>
      </w:tabs>
      <w:spacing w:after="0" w:line="240" w:lineRule="auto"/>
      <w:jc w:val="center"/>
    </w:pPr>
    <w:rPr>
      <w:rFonts w:ascii="Minion Pro" w:hAnsi="Minion Pro"/>
      <w:color w:val="004985"/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AF5BED"/>
    <w:rPr>
      <w:rFonts w:ascii="Minion Pro" w:hAnsi="Minion Pro"/>
      <w:color w:val="004985"/>
      <w:sz w:val="20"/>
    </w:rPr>
  </w:style>
  <w:style w:type="paragraph" w:customStyle="1" w:styleId="Zkladnodstavec">
    <w:name w:val="[Základní odstavec]"/>
    <w:basedOn w:val="Normln"/>
    <w:uiPriority w:val="99"/>
    <w:rsid w:val="00BD3E93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73D00"/>
    <w:rPr>
      <w:color w:val="0563C1" w:themeColor="hyperlink"/>
      <w:u w:val="single"/>
    </w:rPr>
  </w:style>
  <w:style w:type="paragraph" w:customStyle="1" w:styleId="Textparagrafu">
    <w:name w:val="Text paragrafu"/>
    <w:basedOn w:val="Normln"/>
    <w:rsid w:val="00971B6B"/>
    <w:pPr>
      <w:spacing w:before="240" w:after="0" w:line="240" w:lineRule="auto"/>
      <w:ind w:firstLine="425"/>
      <w:jc w:val="both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Paragraf">
    <w:name w:val="Paragraf"/>
    <w:basedOn w:val="Normln"/>
    <w:next w:val="Textodstavce"/>
    <w:rsid w:val="00971B6B"/>
    <w:pPr>
      <w:keepNext/>
      <w:keepLines/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T">
    <w:name w:val="ČÁST"/>
    <w:basedOn w:val="Normln"/>
    <w:next w:val="NADPISSTI"/>
    <w:rsid w:val="00971B6B"/>
    <w:pPr>
      <w:keepNext/>
      <w:keepLines/>
      <w:spacing w:before="240" w:after="120" w:line="240" w:lineRule="auto"/>
      <w:jc w:val="center"/>
      <w:outlineLvl w:val="1"/>
    </w:pPr>
    <w:rPr>
      <w:rFonts w:ascii="Times New Roman" w:eastAsia="Times New Roman" w:hAnsi="Times New Roman" w:cs="Times New Roman"/>
      <w:caps/>
      <w:sz w:val="24"/>
      <w:szCs w:val="20"/>
      <w:lang w:eastAsia="cs-CZ"/>
    </w:rPr>
  </w:style>
  <w:style w:type="paragraph" w:customStyle="1" w:styleId="NADPISSTI">
    <w:name w:val="NADPIS ČÁSTI"/>
    <w:basedOn w:val="Normln"/>
    <w:next w:val="Normln"/>
    <w:rsid w:val="00971B6B"/>
    <w:pPr>
      <w:keepNext/>
      <w:keepLine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Textbodu">
    <w:name w:val="Text bodu"/>
    <w:basedOn w:val="Normln"/>
    <w:rsid w:val="00971B6B"/>
    <w:pPr>
      <w:numPr>
        <w:ilvl w:val="2"/>
        <w:numId w:val="1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971B6B"/>
    <w:pPr>
      <w:numPr>
        <w:ilvl w:val="1"/>
        <w:numId w:val="1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link w:val="TextodstavceChar"/>
    <w:rsid w:val="00971B6B"/>
    <w:pPr>
      <w:numPr>
        <w:numId w:val="1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971B6B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71B6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971B6B"/>
    <w:rPr>
      <w:vertAlign w:val="superscript"/>
    </w:rPr>
  </w:style>
  <w:style w:type="paragraph" w:styleId="Prosttext">
    <w:name w:val="Plain Text"/>
    <w:basedOn w:val="Normln"/>
    <w:link w:val="ProsttextChar"/>
    <w:rsid w:val="00971B6B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971B6B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TextodstavceChar">
    <w:name w:val="Text odstavce Char"/>
    <w:basedOn w:val="Standardnpsmoodstavce"/>
    <w:link w:val="Textodstavce"/>
    <w:rsid w:val="00971B6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1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1B6B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EF228C"/>
    <w:rPr>
      <w:rFonts w:ascii="Times New Roman" w:eastAsia="Times New Roman" w:hAnsi="Times New Roman" w:cs="Times New Roman"/>
      <w:b/>
      <w:sz w:val="24"/>
      <w:szCs w:val="24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ovah\Desktop\05_Vychova_a_vzdelavani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B96F3-3936-404B-90E8-B9780F902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05_Vychova_a_vzdelavani.dotx</Template>
  <TotalTime>9</TotalTime>
  <Pages>1</Pages>
  <Words>410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Adamová</dc:creator>
  <cp:keywords/>
  <dc:description/>
  <cp:lastModifiedBy>Helena Adamová</cp:lastModifiedBy>
  <cp:revision>14</cp:revision>
  <cp:lastPrinted>2023-07-18T12:46:00Z</cp:lastPrinted>
  <dcterms:created xsi:type="dcterms:W3CDTF">2020-11-24T11:27:00Z</dcterms:created>
  <dcterms:modified xsi:type="dcterms:W3CDTF">2024-12-17T09:30:00Z</dcterms:modified>
</cp:coreProperties>
</file>