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CDCF" w14:textId="3E70178B" w:rsidR="00D70BB9" w:rsidRDefault="00C8105C" w:rsidP="000803D0">
      <w:pPr>
        <w:spacing w:line="240" w:lineRule="auto"/>
        <w:jc w:val="both"/>
      </w:pPr>
      <w:r>
        <w:rPr>
          <w:noProof/>
          <w:lang w:eastAsia="cs-CZ"/>
        </w:rPr>
        <w:drawing>
          <wp:anchor distT="0" distB="0" distL="114300" distR="114300" simplePos="0" relativeHeight="251658240" behindDoc="0" locked="0" layoutInCell="1" allowOverlap="1" wp14:anchorId="6BA953E2" wp14:editId="287A4098">
            <wp:simplePos x="0" y="0"/>
            <wp:positionH relativeFrom="margin">
              <wp:align>left</wp:align>
            </wp:positionH>
            <wp:positionV relativeFrom="paragraph">
              <wp:posOffset>6350</wp:posOffset>
            </wp:positionV>
            <wp:extent cx="1377950" cy="1377950"/>
            <wp:effectExtent l="0" t="0" r="0" b="0"/>
            <wp:wrapNone/>
            <wp:docPr id="361711983" name="Obrázek 1" descr="Obsah obrázku symbol, logo, vlajka,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11983" name="Obrázek 1" descr="Obsah obrázku symbol, logo, vlajka, Grafika&#10;&#10;Popis byl vytvořen automaticky"/>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7950" cy="1377950"/>
                    </a:xfrm>
                    <a:prstGeom prst="rect">
                      <a:avLst/>
                    </a:prstGeom>
                  </pic:spPr>
                </pic:pic>
              </a:graphicData>
            </a:graphic>
            <wp14:sizeRelH relativeFrom="margin">
              <wp14:pctWidth>0</wp14:pctWidth>
            </wp14:sizeRelH>
            <wp14:sizeRelV relativeFrom="margin">
              <wp14:pctHeight>0</wp14:pctHeight>
            </wp14:sizeRelV>
          </wp:anchor>
        </w:drawing>
      </w:r>
    </w:p>
    <w:p w14:paraId="023D2C36" w14:textId="4E17C992" w:rsidR="00D70BB9" w:rsidRDefault="00C8105C" w:rsidP="000803D0">
      <w:pPr>
        <w:spacing w:after="0" w:line="240" w:lineRule="auto"/>
        <w:jc w:val="center"/>
        <w:rPr>
          <w:rFonts w:ascii="Arial" w:hAnsi="Arial" w:cs="Arial"/>
          <w:b/>
          <w:color w:val="2F5496"/>
          <w:sz w:val="40"/>
          <w:szCs w:val="36"/>
        </w:rPr>
      </w:pPr>
      <w:r>
        <w:rPr>
          <w:rFonts w:ascii="Arial" w:hAnsi="Arial" w:cs="Arial"/>
          <w:b/>
          <w:color w:val="2F5496"/>
          <w:sz w:val="40"/>
          <w:szCs w:val="36"/>
        </w:rPr>
        <w:t xml:space="preserve">           </w:t>
      </w:r>
      <w:r w:rsidR="00D70BB9">
        <w:rPr>
          <w:rFonts w:ascii="Arial" w:hAnsi="Arial" w:cs="Arial"/>
          <w:b/>
          <w:color w:val="2F5496"/>
          <w:sz w:val="40"/>
          <w:szCs w:val="36"/>
        </w:rPr>
        <w:t>Aktuality z Evropské unie</w:t>
      </w:r>
    </w:p>
    <w:p w14:paraId="7FD5B4F5" w14:textId="6199929D" w:rsidR="00D70BB9" w:rsidRDefault="00C8105C" w:rsidP="000803D0">
      <w:pPr>
        <w:spacing w:after="0" w:line="240" w:lineRule="auto"/>
        <w:jc w:val="center"/>
        <w:rPr>
          <w:rFonts w:ascii="Arial" w:hAnsi="Arial" w:cs="Arial"/>
          <w:b/>
          <w:color w:val="FFC000"/>
          <w:sz w:val="28"/>
          <w:szCs w:val="36"/>
        </w:rPr>
      </w:pPr>
      <w:bookmarkStart w:id="0" w:name="_Hlk481652662"/>
      <w:bookmarkEnd w:id="0"/>
      <w:r>
        <w:rPr>
          <w:rFonts w:ascii="Arial" w:hAnsi="Arial" w:cs="Arial"/>
          <w:b/>
          <w:color w:val="FFC000"/>
          <w:sz w:val="28"/>
          <w:szCs w:val="36"/>
        </w:rPr>
        <w:t xml:space="preserve">               </w:t>
      </w:r>
      <w:r w:rsidR="00D70BB9">
        <w:rPr>
          <w:rFonts w:ascii="Arial" w:hAnsi="Arial" w:cs="Arial"/>
          <w:b/>
          <w:color w:val="FFC000"/>
          <w:sz w:val="28"/>
          <w:szCs w:val="36"/>
        </w:rPr>
        <w:t>od Stálého zastoupení ČAK v Bruselu</w:t>
      </w:r>
    </w:p>
    <w:p w14:paraId="448C14B1" w14:textId="77777777" w:rsidR="00D70BB9" w:rsidRDefault="00D70BB9" w:rsidP="000803D0">
      <w:pPr>
        <w:spacing w:after="0" w:line="240" w:lineRule="auto"/>
        <w:jc w:val="center"/>
        <w:rPr>
          <w:rFonts w:ascii="Arial" w:hAnsi="Arial" w:cs="Arial"/>
          <w:b/>
          <w:color w:val="2F5496"/>
          <w:sz w:val="36"/>
          <w:szCs w:val="36"/>
        </w:rPr>
      </w:pPr>
    </w:p>
    <w:p w14:paraId="4D029441" w14:textId="75A30B5A" w:rsidR="00D70BB9" w:rsidRDefault="00C8105C" w:rsidP="000803D0">
      <w:pPr>
        <w:pBdr>
          <w:bottom w:val="single" w:sz="4" w:space="1" w:color="000000"/>
        </w:pBdr>
        <w:spacing w:after="0" w:line="240" w:lineRule="auto"/>
        <w:jc w:val="center"/>
      </w:pPr>
      <w:r>
        <w:rPr>
          <w:rFonts w:ascii="Arial" w:hAnsi="Arial" w:cs="Arial"/>
          <w:b/>
          <w:color w:val="2F5496"/>
          <w:sz w:val="28"/>
          <w:szCs w:val="32"/>
        </w:rPr>
        <w:t xml:space="preserve">            </w:t>
      </w:r>
      <w:r w:rsidR="00D70BB9">
        <w:rPr>
          <w:rFonts w:ascii="Arial" w:hAnsi="Arial" w:cs="Arial"/>
          <w:b/>
          <w:color w:val="2F5496"/>
          <w:sz w:val="28"/>
          <w:szCs w:val="32"/>
        </w:rPr>
        <w:t>(</w:t>
      </w:r>
      <w:proofErr w:type="gramStart"/>
      <w:r w:rsidR="007671C2">
        <w:rPr>
          <w:rFonts w:ascii="Arial" w:hAnsi="Arial" w:cs="Arial"/>
          <w:b/>
          <w:color w:val="2F5496"/>
          <w:sz w:val="28"/>
          <w:szCs w:val="32"/>
        </w:rPr>
        <w:t>červen - srpen</w:t>
      </w:r>
      <w:proofErr w:type="gramEnd"/>
      <w:r w:rsidR="00C330A6">
        <w:rPr>
          <w:rFonts w:ascii="Arial" w:hAnsi="Arial" w:cs="Arial"/>
          <w:b/>
          <w:color w:val="2F5496"/>
          <w:sz w:val="28"/>
          <w:szCs w:val="32"/>
        </w:rPr>
        <w:t xml:space="preserve"> 2024</w:t>
      </w:r>
      <w:r w:rsidR="00D70BB9">
        <w:rPr>
          <w:rFonts w:ascii="Arial" w:hAnsi="Arial" w:cs="Arial"/>
          <w:b/>
          <w:color w:val="2F5496"/>
          <w:sz w:val="28"/>
          <w:szCs w:val="32"/>
        </w:rPr>
        <w:t>)</w:t>
      </w:r>
    </w:p>
    <w:p w14:paraId="76FE662A" w14:textId="77777777" w:rsidR="00D70BB9" w:rsidRDefault="00D70BB9" w:rsidP="000803D0">
      <w:pPr>
        <w:pBdr>
          <w:bottom w:val="single" w:sz="4" w:space="1" w:color="000000"/>
        </w:pBdr>
        <w:spacing w:after="0" w:line="240" w:lineRule="auto"/>
        <w:jc w:val="both"/>
        <w:rPr>
          <w:rFonts w:ascii="Times New Roman" w:hAnsi="Times New Roman"/>
          <w:color w:val="000000"/>
          <w:sz w:val="32"/>
          <w:szCs w:val="32"/>
        </w:rPr>
      </w:pPr>
    </w:p>
    <w:p w14:paraId="25F02565" w14:textId="77777777" w:rsidR="00D70BB9" w:rsidRDefault="00D70BB9" w:rsidP="000803D0">
      <w:pPr>
        <w:spacing w:line="240" w:lineRule="auto"/>
        <w:jc w:val="both"/>
        <w:rPr>
          <w:rFonts w:ascii="Arial" w:hAnsi="Arial" w:cs="Arial"/>
          <w:b/>
          <w:bCs/>
          <w:color w:val="4472C4" w:themeColor="accent1"/>
          <w:sz w:val="24"/>
          <w:szCs w:val="24"/>
        </w:rPr>
      </w:pPr>
    </w:p>
    <w:p w14:paraId="2C835995" w14:textId="77777777" w:rsidR="003C037A" w:rsidRDefault="003C037A" w:rsidP="000803D0">
      <w:pPr>
        <w:spacing w:line="240" w:lineRule="auto"/>
        <w:jc w:val="both"/>
        <w:rPr>
          <w:rFonts w:ascii="Arial" w:hAnsi="Arial" w:cs="Arial"/>
          <w:b/>
          <w:bCs/>
          <w:color w:val="4472C4" w:themeColor="accent1"/>
          <w:sz w:val="24"/>
          <w:szCs w:val="24"/>
        </w:rPr>
      </w:pPr>
    </w:p>
    <w:p w14:paraId="50A1C813" w14:textId="21AA2AC1" w:rsidR="00A86FCE" w:rsidRDefault="003C037A" w:rsidP="000803D0">
      <w:pPr>
        <w:spacing w:line="240" w:lineRule="auto"/>
        <w:jc w:val="both"/>
        <w:rPr>
          <w:rFonts w:ascii="Arial" w:hAnsi="Arial" w:cs="Arial"/>
          <w:b/>
          <w:bCs/>
          <w:color w:val="4472C4" w:themeColor="accent1"/>
          <w:sz w:val="32"/>
          <w:szCs w:val="32"/>
        </w:rPr>
      </w:pPr>
      <w:r>
        <w:rPr>
          <w:rFonts w:cs="Calibri"/>
          <w:noProof/>
          <w:sz w:val="24"/>
          <w:szCs w:val="24"/>
        </w:rPr>
        <w:drawing>
          <wp:inline distT="0" distB="0" distL="0" distR="0" wp14:anchorId="3A9603EC" wp14:editId="28213972">
            <wp:extent cx="372110" cy="372110"/>
            <wp:effectExtent l="0" t="0" r="8890" b="8890"/>
            <wp:docPr id="1495747866" name="Obrázek 149574786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00A86FCE" w:rsidRPr="00A86FCE">
        <w:t xml:space="preserve"> </w:t>
      </w:r>
      <w:r w:rsidR="00C424A9">
        <w:rPr>
          <w:rFonts w:ascii="Arial" w:hAnsi="Arial" w:cs="Arial"/>
          <w:b/>
          <w:bCs/>
          <w:color w:val="4472C4" w:themeColor="accent1"/>
          <w:sz w:val="32"/>
          <w:szCs w:val="32"/>
        </w:rPr>
        <w:t>Vstup evropského aktu o umělé inteligenci v platnost</w:t>
      </w:r>
    </w:p>
    <w:p w14:paraId="7A6E4D91" w14:textId="2E8E38C5" w:rsidR="00C424A9" w:rsidRPr="00C424A9" w:rsidRDefault="00C424A9" w:rsidP="00C424A9">
      <w:pPr>
        <w:spacing w:line="240" w:lineRule="auto"/>
        <w:jc w:val="both"/>
        <w:rPr>
          <w:rFonts w:ascii="Arial" w:hAnsi="Arial" w:cs="Arial"/>
          <w:sz w:val="24"/>
          <w:szCs w:val="24"/>
        </w:rPr>
      </w:pPr>
      <w:r w:rsidRPr="00C424A9">
        <w:rPr>
          <w:rFonts w:ascii="Arial" w:hAnsi="Arial" w:cs="Arial"/>
          <w:sz w:val="24"/>
          <w:szCs w:val="24"/>
        </w:rPr>
        <w:t>Dne</w:t>
      </w:r>
      <w:r>
        <w:rPr>
          <w:rFonts w:ascii="Arial" w:hAnsi="Arial" w:cs="Arial"/>
          <w:sz w:val="24"/>
          <w:szCs w:val="24"/>
        </w:rPr>
        <w:t xml:space="preserve"> 1. srpna </w:t>
      </w:r>
      <w:r w:rsidRPr="00C424A9">
        <w:rPr>
          <w:rFonts w:ascii="Arial" w:hAnsi="Arial" w:cs="Arial"/>
          <w:sz w:val="24"/>
          <w:szCs w:val="24"/>
        </w:rPr>
        <w:t>vst</w:t>
      </w:r>
      <w:r>
        <w:rPr>
          <w:rFonts w:ascii="Arial" w:hAnsi="Arial" w:cs="Arial"/>
          <w:sz w:val="24"/>
          <w:szCs w:val="24"/>
        </w:rPr>
        <w:t>oupil</w:t>
      </w:r>
      <w:r w:rsidRPr="00C424A9">
        <w:rPr>
          <w:rFonts w:ascii="Arial" w:hAnsi="Arial" w:cs="Arial"/>
          <w:sz w:val="24"/>
          <w:szCs w:val="24"/>
        </w:rPr>
        <w:t xml:space="preserve"> v platnost evropský akt o umělé inteligenci, první komplexní nařízení o umělé inteligenci na světě. Akt o umělé inteligenci je navržen tak, aby zajistil, že umělá inteligence vyvinutá a používaná v EU bude důvěryhodná a bude obsahovat záruky na ochranu základních práv. Cílem nařízení je vytvořit harmonizovaný vnitřní trh s umělou inteligencí v EU, podpořit zavádění této technologie a vytvořit příznivé prostředí pro inovace a investice.</w:t>
      </w:r>
    </w:p>
    <w:p w14:paraId="62FA4EED" w14:textId="77777777" w:rsidR="00C424A9" w:rsidRDefault="00C424A9" w:rsidP="00C424A9">
      <w:pPr>
        <w:spacing w:line="240" w:lineRule="auto"/>
        <w:jc w:val="both"/>
        <w:rPr>
          <w:rFonts w:ascii="Arial" w:hAnsi="Arial" w:cs="Arial"/>
          <w:sz w:val="24"/>
          <w:szCs w:val="24"/>
        </w:rPr>
      </w:pPr>
      <w:r w:rsidRPr="00C424A9">
        <w:rPr>
          <w:rFonts w:ascii="Arial" w:hAnsi="Arial" w:cs="Arial"/>
          <w:sz w:val="24"/>
          <w:szCs w:val="24"/>
        </w:rPr>
        <w:t>Akt o umělé inteligenci zavádí výhledovou definici umělé inteligence založenou na bezpečnosti výrobků a přístupu založeném na posouzení rizik v</w:t>
      </w:r>
      <w:r>
        <w:rPr>
          <w:rFonts w:ascii="Arial" w:hAnsi="Arial" w:cs="Arial"/>
          <w:sz w:val="24"/>
          <w:szCs w:val="24"/>
        </w:rPr>
        <w:t> </w:t>
      </w:r>
      <w:r w:rsidRPr="00C424A9">
        <w:rPr>
          <w:rFonts w:ascii="Arial" w:hAnsi="Arial" w:cs="Arial"/>
          <w:sz w:val="24"/>
          <w:szCs w:val="24"/>
        </w:rPr>
        <w:t>EU</w:t>
      </w:r>
      <w:r>
        <w:rPr>
          <w:rFonts w:ascii="Arial" w:hAnsi="Arial" w:cs="Arial"/>
          <w:sz w:val="24"/>
          <w:szCs w:val="24"/>
        </w:rPr>
        <w:t xml:space="preserve">. Do kategorie s minimálním rizikem </w:t>
      </w:r>
      <w:r w:rsidRPr="00C424A9">
        <w:rPr>
          <w:rFonts w:ascii="Arial" w:hAnsi="Arial" w:cs="Arial"/>
          <w:sz w:val="24"/>
          <w:szCs w:val="24"/>
        </w:rPr>
        <w:t xml:space="preserve">spadá většina systémů UI, jako jsou </w:t>
      </w:r>
      <w:proofErr w:type="spellStart"/>
      <w:r w:rsidRPr="00C424A9">
        <w:rPr>
          <w:rFonts w:ascii="Arial" w:hAnsi="Arial" w:cs="Arial"/>
          <w:sz w:val="24"/>
          <w:szCs w:val="24"/>
        </w:rPr>
        <w:t>doporučovací</w:t>
      </w:r>
      <w:proofErr w:type="spellEnd"/>
      <w:r w:rsidRPr="00C424A9">
        <w:rPr>
          <w:rFonts w:ascii="Arial" w:hAnsi="Arial" w:cs="Arial"/>
          <w:sz w:val="24"/>
          <w:szCs w:val="24"/>
        </w:rPr>
        <w:t xml:space="preserve"> systémy založené na umělé inteligenci a spamové filtry. Tyto systémy nemají podle aktu o umělé inteligenci žádné povinnosti</w:t>
      </w:r>
      <w:r>
        <w:rPr>
          <w:rFonts w:ascii="Arial" w:hAnsi="Arial" w:cs="Arial"/>
          <w:sz w:val="24"/>
          <w:szCs w:val="24"/>
        </w:rPr>
        <w:t xml:space="preserve">, společnosti </w:t>
      </w:r>
      <w:r w:rsidRPr="00C424A9">
        <w:rPr>
          <w:rFonts w:ascii="Arial" w:hAnsi="Arial" w:cs="Arial"/>
          <w:sz w:val="24"/>
          <w:szCs w:val="24"/>
        </w:rPr>
        <w:t>mohou dobrovolně přijmout další kodexy chování.</w:t>
      </w:r>
    </w:p>
    <w:p w14:paraId="541DA761" w14:textId="4C39DDAF" w:rsidR="00C424A9" w:rsidRPr="00C424A9" w:rsidRDefault="00C424A9" w:rsidP="00C424A9">
      <w:pPr>
        <w:spacing w:line="240" w:lineRule="auto"/>
        <w:jc w:val="both"/>
        <w:rPr>
          <w:rFonts w:ascii="Arial" w:hAnsi="Arial" w:cs="Arial"/>
          <w:sz w:val="24"/>
          <w:szCs w:val="24"/>
        </w:rPr>
      </w:pPr>
      <w:r w:rsidRPr="00C424A9">
        <w:rPr>
          <w:rFonts w:ascii="Arial" w:hAnsi="Arial" w:cs="Arial"/>
          <w:sz w:val="24"/>
          <w:szCs w:val="24"/>
        </w:rPr>
        <w:t xml:space="preserve">Systémy UI, jako jsou chatboty, musí uživatelům jasně sdělit, že interagují se strojem. Určitý obsah vytvořený umělou inteligencí, včetně </w:t>
      </w:r>
      <w:proofErr w:type="spellStart"/>
      <w:r w:rsidRPr="00C424A9">
        <w:rPr>
          <w:rFonts w:ascii="Arial" w:hAnsi="Arial" w:cs="Arial"/>
          <w:sz w:val="24"/>
          <w:szCs w:val="24"/>
        </w:rPr>
        <w:t>deep</w:t>
      </w:r>
      <w:proofErr w:type="spellEnd"/>
      <w:r w:rsidRPr="00C424A9">
        <w:rPr>
          <w:rFonts w:ascii="Arial" w:hAnsi="Arial" w:cs="Arial"/>
          <w:sz w:val="24"/>
          <w:szCs w:val="24"/>
        </w:rPr>
        <w:t xml:space="preserve"> </w:t>
      </w:r>
      <w:proofErr w:type="spellStart"/>
      <w:r w:rsidRPr="00C424A9">
        <w:rPr>
          <w:rFonts w:ascii="Arial" w:hAnsi="Arial" w:cs="Arial"/>
          <w:sz w:val="24"/>
          <w:szCs w:val="24"/>
        </w:rPr>
        <w:t>fakes</w:t>
      </w:r>
      <w:proofErr w:type="spellEnd"/>
      <w:r w:rsidRPr="00C424A9">
        <w:rPr>
          <w:rFonts w:ascii="Arial" w:hAnsi="Arial" w:cs="Arial"/>
          <w:sz w:val="24"/>
          <w:szCs w:val="24"/>
        </w:rPr>
        <w:t>, musí být jako takový označen a uživatelé musí být informováni o používání biometrických systémů kategorizace nebo rozpoznávání emocí. Kromě toho budou muset poskytovatelé koncipovat systémy tak, aby syntetický obsah, jako je zvuk, video, text a obrázky, byl označen ve strojově čitelném formátu a aby byl zjistitelný jako uměle vytvořený nebo manipulovaný.</w:t>
      </w:r>
    </w:p>
    <w:p w14:paraId="10AB11D4" w14:textId="37B2B776" w:rsidR="00C424A9" w:rsidRPr="00C424A9" w:rsidRDefault="00C424A9" w:rsidP="00C424A9">
      <w:pPr>
        <w:spacing w:line="240" w:lineRule="auto"/>
        <w:jc w:val="both"/>
        <w:rPr>
          <w:rFonts w:ascii="Arial" w:hAnsi="Arial" w:cs="Arial"/>
          <w:sz w:val="24"/>
          <w:szCs w:val="24"/>
        </w:rPr>
      </w:pPr>
      <w:r w:rsidRPr="00C424A9">
        <w:rPr>
          <w:rFonts w:ascii="Arial" w:hAnsi="Arial" w:cs="Arial"/>
          <w:sz w:val="24"/>
          <w:szCs w:val="24"/>
        </w:rPr>
        <w:t>Systémy UI označené jako vysoce rizikové budou muset splňovat přísné požadavky, včetně systémů zmírňování rizik, vysoké kvality datových souborů, záznamů o činnosti, podrobné dokumentace, jasných uživatelských informací, lidského dohledu a vysoké úrovně spolehlivosti, přesnosti a kybernetické bezpečnosti. Tzv. regulační pískoviště usnadní vývoj zodpovědných inovací a systémů umělé inteligence, které jsou v souladu s předpisy. Tyto vysoce rizikové systémy UI zahrnují například systémy UI používané k náboru nebo k posouzení toho, zda má někdo nárok na půjčku nebo na provozování autonomních robotů.</w:t>
      </w:r>
    </w:p>
    <w:p w14:paraId="24340D1D" w14:textId="2D264FFB" w:rsidR="00C424A9" w:rsidRPr="00C424A9" w:rsidRDefault="00C424A9" w:rsidP="00C424A9">
      <w:pPr>
        <w:spacing w:line="240" w:lineRule="auto"/>
        <w:jc w:val="both"/>
        <w:rPr>
          <w:rFonts w:ascii="Arial" w:hAnsi="Arial" w:cs="Arial"/>
          <w:sz w:val="24"/>
          <w:szCs w:val="24"/>
        </w:rPr>
      </w:pPr>
      <w:r w:rsidRPr="00C424A9">
        <w:rPr>
          <w:rFonts w:ascii="Arial" w:hAnsi="Arial" w:cs="Arial"/>
          <w:sz w:val="24"/>
          <w:szCs w:val="24"/>
        </w:rPr>
        <w:t xml:space="preserve">Systémy UI považované za jasnou hrozbu pro základní práva lidí budou zakázány. To zahrnuje systémy UI nebo aplikace, které manipulují s lidským chováním s cílem obejít svobodnou vůli uživatelů, jako jsou hračky využívající hlasovou pomoc podporující nebezpečné chování nezletilých osob, systémy, které umožňují „sociální hodnocení“ vládami nebo společnostmi, a některé aplikace prediktivní policejní práce. Kromě toho budou zakázána některá použití biometrických systémů, například systémy </w:t>
      </w:r>
      <w:r w:rsidRPr="00C424A9">
        <w:rPr>
          <w:rFonts w:ascii="Arial" w:hAnsi="Arial" w:cs="Arial"/>
          <w:sz w:val="24"/>
          <w:szCs w:val="24"/>
        </w:rPr>
        <w:lastRenderedPageBreak/>
        <w:t>rozpoznávání emocí používané na pracovišti, některé systémy pro kategorizaci lidí nebo biometrická identifikace na dálku v reálném čase pro účely vymáhání práva na veřejně přístupných místech (s omezenými výjimkami).</w:t>
      </w:r>
      <w:r>
        <w:rPr>
          <w:rFonts w:ascii="Arial" w:hAnsi="Arial" w:cs="Arial"/>
          <w:sz w:val="24"/>
          <w:szCs w:val="24"/>
        </w:rPr>
        <w:t xml:space="preserve"> </w:t>
      </w:r>
      <w:r w:rsidRPr="00C424A9">
        <w:rPr>
          <w:rFonts w:ascii="Arial" w:hAnsi="Arial" w:cs="Arial"/>
          <w:sz w:val="24"/>
          <w:szCs w:val="24"/>
        </w:rPr>
        <w:t xml:space="preserve">Za účelem doplnění tohoto systému akt o umělé inteligenci rovněž zavádí pravidla pro tzv. modely UI pro všeobecné účely, což jsou vysoce výkonné modely UI, které jsou navrženy tak, aby plnily širokou škálu úkolů, jako je vytváření textu podobného člověku. </w:t>
      </w:r>
    </w:p>
    <w:p w14:paraId="53E4B119" w14:textId="0B0F3B86" w:rsidR="00C424A9" w:rsidRPr="00C424A9" w:rsidRDefault="00C424A9" w:rsidP="00C424A9">
      <w:pPr>
        <w:spacing w:line="240" w:lineRule="auto"/>
        <w:jc w:val="both"/>
        <w:rPr>
          <w:rFonts w:ascii="Arial" w:hAnsi="Arial" w:cs="Arial"/>
          <w:sz w:val="24"/>
          <w:szCs w:val="24"/>
        </w:rPr>
      </w:pPr>
      <w:r w:rsidRPr="00C424A9">
        <w:rPr>
          <w:rFonts w:ascii="Arial" w:hAnsi="Arial" w:cs="Arial"/>
          <w:sz w:val="24"/>
          <w:szCs w:val="24"/>
        </w:rPr>
        <w:t xml:space="preserve">Členské státy musí do 2. srpna 2025 určit příslušné vnitrostátní orgány, které budou dohlížet na uplatňování pravidel pro systémy UI a vykonávat činnosti dozoru nad trhem. </w:t>
      </w:r>
      <w:r w:rsidR="003977B3">
        <w:rPr>
          <w:rFonts w:ascii="Arial" w:hAnsi="Arial" w:cs="Arial"/>
          <w:sz w:val="24"/>
          <w:szCs w:val="24"/>
        </w:rPr>
        <w:t xml:space="preserve">Na evropské úrovni bude prováděcím orgánem </w:t>
      </w:r>
      <w:r w:rsidRPr="00C424A9">
        <w:rPr>
          <w:rFonts w:ascii="Arial" w:hAnsi="Arial" w:cs="Arial"/>
          <w:sz w:val="24"/>
          <w:szCs w:val="24"/>
        </w:rPr>
        <w:t>Úřad Komise pro</w:t>
      </w:r>
      <w:r>
        <w:rPr>
          <w:rFonts w:ascii="Arial" w:hAnsi="Arial" w:cs="Arial"/>
          <w:sz w:val="24"/>
          <w:szCs w:val="24"/>
        </w:rPr>
        <w:t xml:space="preserve"> </w:t>
      </w:r>
      <w:r w:rsidRPr="00C424A9">
        <w:rPr>
          <w:rFonts w:ascii="Arial" w:hAnsi="Arial" w:cs="Arial"/>
          <w:sz w:val="24"/>
          <w:szCs w:val="24"/>
        </w:rPr>
        <w:t>umělou inteligenci</w:t>
      </w:r>
      <w:r w:rsidR="003977B3">
        <w:rPr>
          <w:rFonts w:ascii="Arial" w:hAnsi="Arial" w:cs="Arial"/>
          <w:sz w:val="24"/>
          <w:szCs w:val="24"/>
        </w:rPr>
        <w:t xml:space="preserve">, kterému jsou zároveň svěřeny donucovací pravomoci, pokud jde o systémy UI pro všeobecné účely. </w:t>
      </w:r>
      <w:r w:rsidRPr="00C424A9">
        <w:rPr>
          <w:rFonts w:ascii="Arial" w:hAnsi="Arial" w:cs="Arial"/>
          <w:sz w:val="24"/>
          <w:szCs w:val="24"/>
        </w:rPr>
        <w:t xml:space="preserve">Provádění pravidel budou podporovat Evropská rada pro umělou inteligenci </w:t>
      </w:r>
      <w:r>
        <w:rPr>
          <w:rFonts w:ascii="Arial" w:hAnsi="Arial" w:cs="Arial"/>
          <w:sz w:val="24"/>
          <w:szCs w:val="24"/>
        </w:rPr>
        <w:t>a v</w:t>
      </w:r>
      <w:r w:rsidRPr="00C424A9">
        <w:rPr>
          <w:rFonts w:ascii="Arial" w:hAnsi="Arial" w:cs="Arial"/>
          <w:sz w:val="24"/>
          <w:szCs w:val="24"/>
        </w:rPr>
        <w:t>ědecká skupina nezávislých odborníků</w:t>
      </w:r>
      <w:r>
        <w:rPr>
          <w:rFonts w:ascii="Arial" w:hAnsi="Arial" w:cs="Arial"/>
          <w:sz w:val="24"/>
          <w:szCs w:val="24"/>
        </w:rPr>
        <w:t>.</w:t>
      </w:r>
    </w:p>
    <w:p w14:paraId="076ADB96" w14:textId="6180EBD4" w:rsidR="00C424A9" w:rsidRPr="00C424A9" w:rsidRDefault="00C424A9" w:rsidP="00C424A9">
      <w:pPr>
        <w:spacing w:line="240" w:lineRule="auto"/>
        <w:jc w:val="both"/>
        <w:rPr>
          <w:rFonts w:ascii="Arial" w:hAnsi="Arial" w:cs="Arial"/>
          <w:sz w:val="24"/>
          <w:szCs w:val="24"/>
        </w:rPr>
      </w:pPr>
      <w:r>
        <w:rPr>
          <w:rFonts w:ascii="Arial" w:hAnsi="Arial" w:cs="Arial"/>
          <w:sz w:val="24"/>
          <w:szCs w:val="24"/>
        </w:rPr>
        <w:t xml:space="preserve">Porušování pravidel aktu může být sankcionováno </w:t>
      </w:r>
      <w:r w:rsidRPr="00C424A9">
        <w:rPr>
          <w:rFonts w:ascii="Arial" w:hAnsi="Arial" w:cs="Arial"/>
          <w:sz w:val="24"/>
          <w:szCs w:val="24"/>
        </w:rPr>
        <w:t xml:space="preserve">až </w:t>
      </w:r>
      <w:r>
        <w:rPr>
          <w:rFonts w:ascii="Arial" w:hAnsi="Arial" w:cs="Arial"/>
          <w:sz w:val="24"/>
          <w:szCs w:val="24"/>
        </w:rPr>
        <w:t xml:space="preserve">do výše </w:t>
      </w:r>
      <w:r w:rsidRPr="00C424A9">
        <w:rPr>
          <w:rFonts w:ascii="Arial" w:hAnsi="Arial" w:cs="Arial"/>
          <w:sz w:val="24"/>
          <w:szCs w:val="24"/>
        </w:rPr>
        <w:t>7 % celosvětového ročního obratu za porušení zakázaných aplikací umělé inteligence, až 3 % za porušení jiných povinností a až 1,5 % za poskytnutí nesprávných informací.</w:t>
      </w:r>
    </w:p>
    <w:p w14:paraId="4B90821E" w14:textId="626B349B" w:rsidR="003C037A" w:rsidRDefault="00C424A9" w:rsidP="000803D0">
      <w:pPr>
        <w:spacing w:line="240" w:lineRule="auto"/>
        <w:jc w:val="both"/>
        <w:rPr>
          <w:rFonts w:ascii="Arial" w:hAnsi="Arial" w:cs="Arial"/>
          <w:sz w:val="24"/>
          <w:szCs w:val="24"/>
        </w:rPr>
      </w:pPr>
      <w:r w:rsidRPr="00C424A9">
        <w:rPr>
          <w:rFonts w:ascii="Arial" w:hAnsi="Arial" w:cs="Arial"/>
          <w:sz w:val="24"/>
          <w:szCs w:val="24"/>
        </w:rPr>
        <w:t>Většina pravidel aktu o umělé inteligenci začne platit dne 2. srpna 2026. Zákazy systémů UI, u nichž se má za to, že představují nepřijatelné riziko, však budou platit již po šesti měsících, zatímco pravidla pro tzv. modely UI pro všeobecné účely se použijí po 12 měsících.</w:t>
      </w:r>
      <w:r>
        <w:rPr>
          <w:rFonts w:ascii="Arial" w:hAnsi="Arial" w:cs="Arial"/>
          <w:sz w:val="24"/>
          <w:szCs w:val="24"/>
        </w:rPr>
        <w:t xml:space="preserve"> Komise již</w:t>
      </w:r>
      <w:r w:rsidRPr="00C424A9">
        <w:rPr>
          <w:rFonts w:ascii="Arial" w:hAnsi="Arial" w:cs="Arial"/>
          <w:sz w:val="24"/>
          <w:szCs w:val="24"/>
        </w:rPr>
        <w:t xml:space="preserve"> </w:t>
      </w:r>
      <w:r>
        <w:rPr>
          <w:rFonts w:ascii="Arial" w:hAnsi="Arial" w:cs="Arial"/>
          <w:sz w:val="24"/>
          <w:szCs w:val="24"/>
        </w:rPr>
        <w:t xml:space="preserve">nyní vyzývá </w:t>
      </w:r>
      <w:r w:rsidRPr="00C424A9">
        <w:rPr>
          <w:rFonts w:ascii="Arial" w:hAnsi="Arial" w:cs="Arial"/>
          <w:sz w:val="24"/>
          <w:szCs w:val="24"/>
        </w:rPr>
        <w:t>vývojáře UI, aby dobrovolně přijali klíčové povinnosti vyplývající z aktu o umělé inteligenci před uplynutím zákonných lhůt. Komise rovněž</w:t>
      </w:r>
      <w:r>
        <w:rPr>
          <w:rFonts w:ascii="Arial" w:hAnsi="Arial" w:cs="Arial"/>
          <w:sz w:val="24"/>
          <w:szCs w:val="24"/>
        </w:rPr>
        <w:t xml:space="preserve"> aktuálně zpracovává </w:t>
      </w:r>
      <w:r w:rsidRPr="00C424A9">
        <w:rPr>
          <w:rFonts w:ascii="Arial" w:hAnsi="Arial" w:cs="Arial"/>
          <w:sz w:val="24"/>
          <w:szCs w:val="24"/>
        </w:rPr>
        <w:t>pokyny, které definují, jak by měl být akt o umělé inteligenci prováděn</w:t>
      </w:r>
      <w:r>
        <w:rPr>
          <w:rFonts w:ascii="Arial" w:hAnsi="Arial" w:cs="Arial"/>
          <w:sz w:val="24"/>
          <w:szCs w:val="24"/>
        </w:rPr>
        <w:t>.</w:t>
      </w:r>
    </w:p>
    <w:p w14:paraId="2E408C53" w14:textId="7D5418CD" w:rsidR="003977B3" w:rsidRPr="003977B3" w:rsidRDefault="003977B3" w:rsidP="000803D0">
      <w:pPr>
        <w:spacing w:line="240" w:lineRule="auto"/>
        <w:jc w:val="both"/>
        <w:rPr>
          <w:rFonts w:ascii="Arial" w:hAnsi="Arial" w:cs="Arial"/>
          <w:sz w:val="24"/>
          <w:szCs w:val="24"/>
        </w:rPr>
      </w:pPr>
      <w:r>
        <w:rPr>
          <w:rFonts w:ascii="Arial" w:hAnsi="Arial" w:cs="Arial"/>
          <w:sz w:val="24"/>
          <w:szCs w:val="24"/>
        </w:rPr>
        <w:t xml:space="preserve">Text nařízení je k dispozici v češtině zde: </w:t>
      </w:r>
      <w:hyperlink r:id="rId7" w:history="1">
        <w:r w:rsidRPr="00730AE7">
          <w:rPr>
            <w:rStyle w:val="Hypertextovodkaz"/>
            <w:rFonts w:ascii="Arial" w:hAnsi="Arial" w:cs="Arial"/>
            <w:sz w:val="24"/>
            <w:szCs w:val="24"/>
          </w:rPr>
          <w:t>https://eur-lex.europa.eu/eli/reg/2024/1689/oj</w:t>
        </w:r>
      </w:hyperlink>
    </w:p>
    <w:p w14:paraId="3F60C648" w14:textId="13DDC96B" w:rsidR="00363A81" w:rsidRPr="00E120B5" w:rsidRDefault="00363A81" w:rsidP="00A771B6">
      <w:pPr>
        <w:jc w:val="both"/>
        <w:rPr>
          <w:rFonts w:ascii="Arial" w:hAnsi="Arial" w:cs="Arial"/>
          <w:b/>
          <w:bCs/>
          <w:color w:val="4472C4" w:themeColor="accent1"/>
          <w:sz w:val="32"/>
          <w:szCs w:val="32"/>
        </w:rPr>
      </w:pPr>
      <w:r>
        <w:rPr>
          <w:rFonts w:cs="Calibri"/>
          <w:noProof/>
          <w:sz w:val="24"/>
          <w:szCs w:val="24"/>
        </w:rPr>
        <w:drawing>
          <wp:inline distT="0" distB="0" distL="0" distR="0" wp14:anchorId="4E44EBEF" wp14:editId="451BFEE0">
            <wp:extent cx="372110" cy="372110"/>
            <wp:effectExtent l="0" t="0" r="8890" b="8890"/>
            <wp:docPr id="849207609" name="Obrázek 84920760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E120B5">
        <w:rPr>
          <w:rFonts w:ascii="Arial" w:eastAsia="Times New Roman" w:hAnsi="Arial" w:cs="Arial"/>
          <w:b/>
          <w:bCs/>
          <w:color w:val="4472C4" w:themeColor="accent1"/>
          <w:kern w:val="36"/>
          <w:sz w:val="32"/>
          <w:szCs w:val="32"/>
          <w:lang w:eastAsia="cs-CZ"/>
        </w:rPr>
        <w:t xml:space="preserve">Veřejná konzultace Komise </w:t>
      </w:r>
      <w:r w:rsidR="00E120B5" w:rsidRPr="00E120B5">
        <w:rPr>
          <w:rFonts w:ascii="Arial" w:hAnsi="Arial" w:cs="Arial"/>
          <w:b/>
          <w:bCs/>
          <w:color w:val="4472C4" w:themeColor="accent1"/>
          <w:sz w:val="32"/>
          <w:szCs w:val="32"/>
        </w:rPr>
        <w:t>k návrhu antimonopolních pokynů ohledně zneužívání dominantního postavení vylučujícího konkurenty</w:t>
      </w:r>
    </w:p>
    <w:p w14:paraId="0D92EBA1" w14:textId="636DB072" w:rsidR="001654D0" w:rsidRDefault="00AC4933" w:rsidP="001654D0">
      <w:pPr>
        <w:pStyle w:val="Normlnweb"/>
        <w:jc w:val="both"/>
        <w:rPr>
          <w:rFonts w:ascii="Arial" w:eastAsia="Calibri" w:hAnsi="Arial" w:cs="Arial"/>
          <w:lang w:eastAsia="en-US"/>
        </w:rPr>
      </w:pPr>
      <w:r w:rsidRPr="00AC4933">
        <w:rPr>
          <w:rFonts w:ascii="Arial" w:eastAsia="Calibri" w:hAnsi="Arial" w:cs="Arial"/>
          <w:lang w:eastAsia="en-US"/>
        </w:rPr>
        <w:t>Komise dne</w:t>
      </w:r>
      <w:r>
        <w:rPr>
          <w:rFonts w:ascii="Arial" w:eastAsia="Calibri" w:hAnsi="Arial" w:cs="Arial"/>
          <w:lang w:eastAsia="en-US"/>
        </w:rPr>
        <w:t xml:space="preserve"> </w:t>
      </w:r>
      <w:r w:rsidR="00E120B5">
        <w:rPr>
          <w:rFonts w:ascii="Arial" w:eastAsia="Calibri" w:hAnsi="Arial" w:cs="Arial"/>
          <w:lang w:eastAsia="en-US"/>
        </w:rPr>
        <w:t xml:space="preserve">1. srpna spustila veřejnou konzultaci </w:t>
      </w:r>
      <w:r w:rsidR="00E120B5" w:rsidRPr="00E120B5">
        <w:rPr>
          <w:rFonts w:ascii="Arial" w:eastAsia="Calibri" w:hAnsi="Arial" w:cs="Arial"/>
          <w:lang w:eastAsia="en-US"/>
        </w:rPr>
        <w:t>k pokynům ohledně zneužívání dominantního postavení vylučujícího konkurenty.</w:t>
      </w:r>
      <w:r w:rsidR="00E120B5">
        <w:rPr>
          <w:rFonts w:ascii="Arial" w:eastAsia="Calibri" w:hAnsi="Arial" w:cs="Arial"/>
          <w:lang w:eastAsia="en-US"/>
        </w:rPr>
        <w:t xml:space="preserve"> Jelikož č</w:t>
      </w:r>
      <w:r w:rsidR="00E120B5" w:rsidRPr="00E120B5">
        <w:rPr>
          <w:rFonts w:ascii="Arial" w:eastAsia="Calibri" w:hAnsi="Arial" w:cs="Arial"/>
          <w:lang w:eastAsia="en-US"/>
        </w:rPr>
        <w:t>lánek 102 SFEU</w:t>
      </w:r>
      <w:r w:rsidR="001654D0">
        <w:rPr>
          <w:rFonts w:ascii="Arial" w:eastAsia="Calibri" w:hAnsi="Arial" w:cs="Arial"/>
          <w:lang w:eastAsia="en-US"/>
        </w:rPr>
        <w:t xml:space="preserve">, </w:t>
      </w:r>
      <w:r w:rsidR="001654D0" w:rsidRPr="001654D0">
        <w:rPr>
          <w:rFonts w:ascii="Arial" w:eastAsia="Calibri" w:hAnsi="Arial" w:cs="Arial"/>
          <w:lang w:eastAsia="en-US"/>
        </w:rPr>
        <w:t>zakazuj</w:t>
      </w:r>
      <w:r w:rsidR="001654D0">
        <w:rPr>
          <w:rFonts w:ascii="Arial" w:eastAsia="Calibri" w:hAnsi="Arial" w:cs="Arial"/>
          <w:lang w:eastAsia="en-US"/>
        </w:rPr>
        <w:t>ící</w:t>
      </w:r>
      <w:r w:rsidR="001654D0" w:rsidRPr="001654D0">
        <w:rPr>
          <w:rFonts w:ascii="Arial" w:eastAsia="Calibri" w:hAnsi="Arial" w:cs="Arial"/>
          <w:lang w:eastAsia="en-US"/>
        </w:rPr>
        <w:t xml:space="preserve"> zneužívání dominantního postavení, které by mohlo ovlivnit obchod uvnitř EU a bránit hospodářské soutěži nebo ji omezovat</w:t>
      </w:r>
      <w:r w:rsidR="001654D0">
        <w:rPr>
          <w:rFonts w:ascii="Arial" w:eastAsia="Calibri" w:hAnsi="Arial" w:cs="Arial"/>
          <w:lang w:eastAsia="en-US"/>
        </w:rPr>
        <w:t>,</w:t>
      </w:r>
      <w:r w:rsidR="00E120B5" w:rsidRPr="00E120B5">
        <w:rPr>
          <w:rFonts w:ascii="Arial" w:eastAsia="Calibri" w:hAnsi="Arial" w:cs="Arial"/>
          <w:lang w:eastAsia="en-US"/>
        </w:rPr>
        <w:t xml:space="preserve"> je zároveň jedinou oblastí evropského práva hospodářské soutěže, pro kterou dosud neexistují pokyny k</w:t>
      </w:r>
      <w:r w:rsidR="00E120B5">
        <w:rPr>
          <w:rFonts w:ascii="Arial" w:eastAsia="Calibri" w:hAnsi="Arial" w:cs="Arial"/>
          <w:lang w:eastAsia="en-US"/>
        </w:rPr>
        <w:t> </w:t>
      </w:r>
      <w:r w:rsidR="00E120B5" w:rsidRPr="00E120B5">
        <w:rPr>
          <w:rFonts w:ascii="Arial" w:eastAsia="Calibri" w:hAnsi="Arial" w:cs="Arial"/>
          <w:lang w:eastAsia="en-US"/>
        </w:rPr>
        <w:t>uplatňování</w:t>
      </w:r>
      <w:r w:rsidR="00E120B5">
        <w:rPr>
          <w:rFonts w:ascii="Arial" w:eastAsia="Calibri" w:hAnsi="Arial" w:cs="Arial"/>
          <w:lang w:eastAsia="en-US"/>
        </w:rPr>
        <w:t xml:space="preserve">, Komise </w:t>
      </w:r>
      <w:r w:rsidR="001654D0">
        <w:rPr>
          <w:rFonts w:ascii="Arial" w:eastAsia="Calibri" w:hAnsi="Arial" w:cs="Arial"/>
          <w:lang w:eastAsia="en-US"/>
        </w:rPr>
        <w:t xml:space="preserve">chce zjistit, zda návrh pokynů může pomoci ke zvýšení právní jistoty spotřebitelů, národních úřadů pro hospodářskou soutěž a soudů. </w:t>
      </w:r>
      <w:r w:rsidR="001654D0" w:rsidRPr="001654D0">
        <w:rPr>
          <w:rFonts w:ascii="Arial" w:eastAsia="Calibri" w:hAnsi="Arial" w:cs="Arial"/>
          <w:lang w:eastAsia="en-US"/>
        </w:rPr>
        <w:t>Návrh pokynů se zabývá mimo jiné:</w:t>
      </w:r>
      <w:r w:rsidR="001654D0">
        <w:rPr>
          <w:rFonts w:ascii="Arial" w:eastAsia="Calibri" w:hAnsi="Arial" w:cs="Arial"/>
          <w:lang w:eastAsia="en-US"/>
        </w:rPr>
        <w:t xml:space="preserve"> </w:t>
      </w:r>
    </w:p>
    <w:p w14:paraId="6A51C301" w14:textId="77777777" w:rsidR="001654D0" w:rsidRDefault="001654D0" w:rsidP="001654D0">
      <w:pPr>
        <w:pStyle w:val="Normlnweb"/>
        <w:numPr>
          <w:ilvl w:val="0"/>
          <w:numId w:val="49"/>
        </w:numPr>
        <w:jc w:val="both"/>
        <w:rPr>
          <w:rFonts w:ascii="Arial" w:eastAsia="Calibri" w:hAnsi="Arial" w:cs="Arial"/>
          <w:lang w:eastAsia="en-US"/>
        </w:rPr>
      </w:pPr>
      <w:r w:rsidRPr="001654D0">
        <w:rPr>
          <w:rFonts w:ascii="Arial" w:eastAsia="Calibri" w:hAnsi="Arial" w:cs="Arial"/>
          <w:lang w:eastAsia="en-US"/>
        </w:rPr>
        <w:t>účelem prosazování právních předpisů v oblasti hospodářské soutěže a konceptem blaha spotřebitelů v rámci práva EU, a to i v souvislosti se zneužíváním dominantního postavení vylučujícím konkurenci</w:t>
      </w:r>
      <w:r>
        <w:rPr>
          <w:rFonts w:ascii="Arial" w:eastAsia="Calibri" w:hAnsi="Arial" w:cs="Arial"/>
          <w:lang w:eastAsia="en-US"/>
        </w:rPr>
        <w:t xml:space="preserve">; </w:t>
      </w:r>
    </w:p>
    <w:p w14:paraId="478727FC" w14:textId="77777777" w:rsidR="001654D0" w:rsidRDefault="001654D0" w:rsidP="001654D0">
      <w:pPr>
        <w:pStyle w:val="Normlnweb"/>
        <w:numPr>
          <w:ilvl w:val="0"/>
          <w:numId w:val="49"/>
        </w:numPr>
        <w:jc w:val="both"/>
        <w:rPr>
          <w:rFonts w:ascii="Arial" w:eastAsia="Calibri" w:hAnsi="Arial" w:cs="Arial"/>
          <w:lang w:eastAsia="en-US"/>
        </w:rPr>
      </w:pPr>
      <w:r w:rsidRPr="001654D0">
        <w:rPr>
          <w:rFonts w:ascii="Arial" w:eastAsia="Calibri" w:hAnsi="Arial" w:cs="Arial"/>
          <w:lang w:eastAsia="en-US"/>
        </w:rPr>
        <w:t>hlavními zásadami pro posouzení samostatného a kolektivního dominantního postavení</w:t>
      </w:r>
      <w:r>
        <w:rPr>
          <w:rFonts w:ascii="Arial" w:eastAsia="Calibri" w:hAnsi="Arial" w:cs="Arial"/>
          <w:lang w:eastAsia="en-US"/>
        </w:rPr>
        <w:t xml:space="preserve">; </w:t>
      </w:r>
    </w:p>
    <w:p w14:paraId="3415D39C" w14:textId="4463E64E" w:rsidR="001654D0" w:rsidRDefault="001654D0" w:rsidP="001654D0">
      <w:pPr>
        <w:pStyle w:val="Normlnweb"/>
        <w:numPr>
          <w:ilvl w:val="0"/>
          <w:numId w:val="49"/>
        </w:numPr>
        <w:jc w:val="both"/>
        <w:rPr>
          <w:rFonts w:ascii="Arial" w:eastAsia="Calibri" w:hAnsi="Arial" w:cs="Arial"/>
          <w:lang w:eastAsia="en-US"/>
        </w:rPr>
      </w:pPr>
      <w:r w:rsidRPr="001654D0">
        <w:rPr>
          <w:rFonts w:ascii="Arial" w:eastAsia="Calibri" w:hAnsi="Arial" w:cs="Arial"/>
          <w:lang w:eastAsia="en-US"/>
        </w:rPr>
        <w:t>použitím obecných zásad ke stanovení, zda by jednání dominantní společnosti mohlo představovat zneužívání, a zejména pojmů „hospodářská soutěž na základě skutečných kvalit“ a „vylučující účinky“</w:t>
      </w:r>
      <w:r>
        <w:rPr>
          <w:rFonts w:ascii="Arial" w:eastAsia="Calibri" w:hAnsi="Arial" w:cs="Arial"/>
          <w:lang w:eastAsia="en-US"/>
        </w:rPr>
        <w:t xml:space="preserve">; </w:t>
      </w:r>
    </w:p>
    <w:p w14:paraId="33329ECD" w14:textId="77777777" w:rsidR="001654D0" w:rsidRDefault="001654D0" w:rsidP="001654D0">
      <w:pPr>
        <w:pStyle w:val="Normlnweb"/>
        <w:numPr>
          <w:ilvl w:val="0"/>
          <w:numId w:val="49"/>
        </w:numPr>
        <w:jc w:val="both"/>
        <w:rPr>
          <w:rFonts w:ascii="Arial" w:eastAsia="Calibri" w:hAnsi="Arial" w:cs="Arial"/>
          <w:lang w:eastAsia="en-US"/>
        </w:rPr>
      </w:pPr>
      <w:r w:rsidRPr="001654D0">
        <w:rPr>
          <w:rFonts w:ascii="Arial" w:eastAsia="Calibri" w:hAnsi="Arial" w:cs="Arial"/>
          <w:lang w:eastAsia="en-US"/>
        </w:rPr>
        <w:t>důkazy nezbytnými k prokázání, že jednání může vyvolat vylučující účinky</w:t>
      </w:r>
      <w:r>
        <w:rPr>
          <w:rFonts w:ascii="Arial" w:eastAsia="Calibri" w:hAnsi="Arial" w:cs="Arial"/>
          <w:lang w:eastAsia="en-US"/>
        </w:rPr>
        <w:t>;</w:t>
      </w:r>
    </w:p>
    <w:p w14:paraId="2C76E895" w14:textId="77777777" w:rsidR="001654D0" w:rsidRDefault="001654D0" w:rsidP="001654D0">
      <w:pPr>
        <w:pStyle w:val="Normlnweb"/>
        <w:numPr>
          <w:ilvl w:val="0"/>
          <w:numId w:val="49"/>
        </w:numPr>
        <w:jc w:val="both"/>
        <w:rPr>
          <w:rFonts w:ascii="Arial" w:eastAsia="Calibri" w:hAnsi="Arial" w:cs="Arial"/>
          <w:lang w:eastAsia="en-US"/>
        </w:rPr>
      </w:pPr>
      <w:r w:rsidRPr="001654D0">
        <w:rPr>
          <w:rFonts w:ascii="Arial" w:eastAsia="Calibri" w:hAnsi="Arial" w:cs="Arial"/>
          <w:lang w:eastAsia="en-US"/>
        </w:rPr>
        <w:lastRenderedPageBreak/>
        <w:t>analytickým rámcem použitelným na určité typy jednání dominantních společností</w:t>
      </w:r>
      <w:r>
        <w:rPr>
          <w:rFonts w:ascii="Arial" w:eastAsia="Calibri" w:hAnsi="Arial" w:cs="Arial"/>
          <w:lang w:eastAsia="en-US"/>
        </w:rPr>
        <w:t>;</w:t>
      </w:r>
    </w:p>
    <w:p w14:paraId="102DFD0C" w14:textId="4E18E786" w:rsidR="00AC4933" w:rsidRDefault="001654D0" w:rsidP="001654D0">
      <w:pPr>
        <w:pStyle w:val="Normlnweb"/>
        <w:numPr>
          <w:ilvl w:val="0"/>
          <w:numId w:val="49"/>
        </w:numPr>
        <w:jc w:val="both"/>
        <w:rPr>
          <w:rFonts w:ascii="Arial" w:eastAsia="Calibri" w:hAnsi="Arial" w:cs="Arial"/>
          <w:lang w:eastAsia="en-US"/>
        </w:rPr>
      </w:pPr>
      <w:r w:rsidRPr="001654D0">
        <w:rPr>
          <w:rFonts w:ascii="Arial" w:eastAsia="Calibri" w:hAnsi="Arial" w:cs="Arial"/>
          <w:lang w:eastAsia="en-US"/>
        </w:rPr>
        <w:t>obecnými zásadami pro posouzení objektivních důvodů, jimiž argumentuje dominantní podnik.</w:t>
      </w:r>
    </w:p>
    <w:p w14:paraId="35261AC1" w14:textId="615651B2" w:rsidR="00735D83" w:rsidRDefault="001654D0" w:rsidP="005723BF">
      <w:pPr>
        <w:pStyle w:val="Normlnweb"/>
        <w:jc w:val="both"/>
        <w:rPr>
          <w:rFonts w:ascii="Arial" w:eastAsia="Calibri" w:hAnsi="Arial" w:cs="Arial"/>
          <w:lang w:eastAsia="en-US"/>
        </w:rPr>
      </w:pPr>
      <w:r>
        <w:rPr>
          <w:rFonts w:ascii="Arial" w:eastAsia="Calibri" w:hAnsi="Arial" w:cs="Arial"/>
          <w:lang w:eastAsia="en-US"/>
        </w:rPr>
        <w:t>Do veřejné konzultace je možné přispívat do 31. října 2024.</w:t>
      </w:r>
    </w:p>
    <w:p w14:paraId="1B64E537" w14:textId="64303E92" w:rsidR="008C4984" w:rsidRDefault="001654D0" w:rsidP="008C4984">
      <w:pPr>
        <w:pStyle w:val="Normlnweb"/>
        <w:jc w:val="both"/>
        <w:rPr>
          <w:rFonts w:ascii="Arial" w:eastAsia="Calibri" w:hAnsi="Arial" w:cs="Arial"/>
          <w:lang w:eastAsia="en-US"/>
        </w:rPr>
      </w:pPr>
      <w:r>
        <w:rPr>
          <w:rFonts w:ascii="Arial" w:eastAsia="Calibri" w:hAnsi="Arial" w:cs="Arial"/>
          <w:lang w:eastAsia="en-US"/>
        </w:rPr>
        <w:t xml:space="preserve">Konzultace včetně všech podkladových dokumentů je k dispozici v angličtině zde: </w:t>
      </w:r>
      <w:hyperlink r:id="rId8" w:anchor="policy-field" w:history="1">
        <w:r w:rsidRPr="00730AE7">
          <w:rPr>
            <w:rStyle w:val="Hypertextovodkaz"/>
            <w:rFonts w:ascii="Arial" w:eastAsia="Calibri" w:hAnsi="Arial" w:cs="Arial"/>
            <w:lang w:eastAsia="en-US"/>
          </w:rPr>
          <w:t>https://competition-policy.ec.europa.eu/public-consultations/2024-article-102-guidelines_en#policy-field</w:t>
        </w:r>
      </w:hyperlink>
    </w:p>
    <w:p w14:paraId="4E45B229" w14:textId="77777777" w:rsidR="00F21521" w:rsidRDefault="00F21521" w:rsidP="008C4984">
      <w:pPr>
        <w:pStyle w:val="Normlnweb"/>
        <w:jc w:val="both"/>
      </w:pPr>
    </w:p>
    <w:p w14:paraId="24760D76" w14:textId="549E4047" w:rsidR="00363A81" w:rsidRPr="008A2260" w:rsidRDefault="00363A81" w:rsidP="00363A81">
      <w:pPr>
        <w:shd w:val="clear" w:color="auto" w:fill="FFFFFF"/>
        <w:spacing w:line="240" w:lineRule="auto"/>
        <w:jc w:val="both"/>
        <w:outlineLvl w:val="0"/>
        <w:rPr>
          <w:rFonts w:ascii="Arial" w:eastAsia="Times New Roman" w:hAnsi="Arial" w:cs="Arial"/>
          <w:b/>
          <w:bCs/>
          <w:color w:val="4472C4" w:themeColor="accent1"/>
          <w:kern w:val="36"/>
          <w:sz w:val="32"/>
          <w:szCs w:val="32"/>
          <w:lang w:eastAsia="cs-CZ"/>
        </w:rPr>
      </w:pPr>
      <w:r>
        <w:rPr>
          <w:rFonts w:cs="Calibri"/>
          <w:noProof/>
          <w:sz w:val="24"/>
          <w:szCs w:val="24"/>
        </w:rPr>
        <w:drawing>
          <wp:inline distT="0" distB="0" distL="0" distR="0" wp14:anchorId="7A7D9DDC" wp14:editId="401DE8FF">
            <wp:extent cx="372110" cy="372110"/>
            <wp:effectExtent l="0" t="0" r="8890" b="8890"/>
            <wp:docPr id="131384240" name="Obrázek 131384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8A2260">
        <w:rPr>
          <w:rFonts w:ascii="Arial" w:eastAsia="Times New Roman" w:hAnsi="Arial" w:cs="Arial"/>
          <w:b/>
          <w:bCs/>
          <w:color w:val="4472C4" w:themeColor="accent1"/>
          <w:kern w:val="36"/>
          <w:sz w:val="32"/>
          <w:szCs w:val="32"/>
          <w:lang w:eastAsia="cs-CZ"/>
        </w:rPr>
        <w:t>P</w:t>
      </w:r>
      <w:r w:rsidR="008A2260" w:rsidRPr="008A2260">
        <w:rPr>
          <w:rFonts w:ascii="Arial" w:eastAsia="Times New Roman" w:hAnsi="Arial" w:cs="Arial"/>
          <w:b/>
          <w:bCs/>
          <w:color w:val="4472C4" w:themeColor="accent1"/>
          <w:kern w:val="36"/>
          <w:sz w:val="32"/>
          <w:szCs w:val="32"/>
          <w:lang w:eastAsia="cs-CZ"/>
        </w:rPr>
        <w:t>růzkum Eurobarometr „Výzvy a priority v EU“</w:t>
      </w:r>
    </w:p>
    <w:p w14:paraId="29B65C63" w14:textId="7E7EF741" w:rsidR="008A2260" w:rsidRPr="008A2260" w:rsidRDefault="00C76F4B" w:rsidP="008A2260">
      <w:pPr>
        <w:shd w:val="clear" w:color="auto" w:fill="FFFFFF"/>
        <w:spacing w:line="240" w:lineRule="auto"/>
        <w:jc w:val="both"/>
        <w:outlineLvl w:val="0"/>
        <w:rPr>
          <w:rFonts w:ascii="Arial" w:hAnsi="Arial" w:cs="Arial"/>
          <w:color w:val="000000"/>
          <w:sz w:val="24"/>
          <w:szCs w:val="24"/>
        </w:rPr>
      </w:pPr>
      <w:r>
        <w:rPr>
          <w:rFonts w:ascii="Arial" w:hAnsi="Arial" w:cs="Arial"/>
          <w:color w:val="000000"/>
          <w:sz w:val="24"/>
          <w:szCs w:val="24"/>
        </w:rPr>
        <w:t xml:space="preserve">Dne </w:t>
      </w:r>
      <w:r w:rsidR="008A2260">
        <w:rPr>
          <w:rFonts w:ascii="Arial" w:hAnsi="Arial" w:cs="Arial"/>
          <w:color w:val="000000"/>
          <w:sz w:val="24"/>
          <w:szCs w:val="24"/>
        </w:rPr>
        <w:t xml:space="preserve">26. července byl zveřejněn bleskový průzkum Eurobarometru o Výzvách a prioritách EU. Výzkum probíhal ve všech členských státech EU a na dotazník odpovědělo </w:t>
      </w:r>
      <w:r w:rsidR="008A2260" w:rsidRPr="008A2260">
        <w:rPr>
          <w:rFonts w:ascii="Arial" w:hAnsi="Arial" w:cs="Arial"/>
          <w:color w:val="000000"/>
          <w:sz w:val="24"/>
          <w:szCs w:val="24"/>
        </w:rPr>
        <w:t>25 658 občanů EU</w:t>
      </w:r>
      <w:r w:rsidR="008A2260">
        <w:rPr>
          <w:rFonts w:ascii="Arial" w:hAnsi="Arial" w:cs="Arial"/>
          <w:color w:val="000000"/>
          <w:sz w:val="24"/>
          <w:szCs w:val="24"/>
        </w:rPr>
        <w:t>. Z průzkumu vyplývá,</w:t>
      </w:r>
      <w:r w:rsidR="008A2260" w:rsidRPr="008A2260">
        <w:rPr>
          <w:rFonts w:ascii="Arial" w:hAnsi="Arial" w:cs="Arial"/>
          <w:color w:val="000000"/>
          <w:sz w:val="24"/>
          <w:szCs w:val="24"/>
        </w:rPr>
        <w:t xml:space="preserve"> že Evropané považují dodržování zásad demokracie, lidských práv a právního státu (38 %) a hospodářskou, průmyslovou a obchodní sílu (34 %) za hlavní silné stránky EU. Následují dobré vztahy a solidarita mezi členskými státy EU (28 %).</w:t>
      </w:r>
      <w:r w:rsidR="008A2260">
        <w:rPr>
          <w:rFonts w:ascii="Arial" w:hAnsi="Arial" w:cs="Arial"/>
          <w:color w:val="000000"/>
          <w:sz w:val="24"/>
          <w:szCs w:val="24"/>
        </w:rPr>
        <w:t xml:space="preserve"> </w:t>
      </w:r>
      <w:r w:rsidR="008A2260" w:rsidRPr="008A2260">
        <w:rPr>
          <w:rFonts w:ascii="Arial" w:hAnsi="Arial" w:cs="Arial"/>
          <w:color w:val="000000"/>
          <w:sz w:val="24"/>
          <w:szCs w:val="24"/>
        </w:rPr>
        <w:t xml:space="preserve">EU </w:t>
      </w:r>
      <w:r w:rsidR="008A2260">
        <w:rPr>
          <w:rFonts w:ascii="Arial" w:hAnsi="Arial" w:cs="Arial"/>
          <w:color w:val="000000"/>
          <w:sz w:val="24"/>
          <w:szCs w:val="24"/>
        </w:rPr>
        <w:t xml:space="preserve">by se dle respondentů </w:t>
      </w:r>
      <w:r w:rsidR="008A2260" w:rsidRPr="008A2260">
        <w:rPr>
          <w:rFonts w:ascii="Arial" w:hAnsi="Arial" w:cs="Arial"/>
          <w:color w:val="000000"/>
          <w:sz w:val="24"/>
          <w:szCs w:val="24"/>
        </w:rPr>
        <w:t>měla prioritně zabývat</w:t>
      </w:r>
      <w:r w:rsidR="008A2260">
        <w:rPr>
          <w:rFonts w:ascii="Arial" w:hAnsi="Arial" w:cs="Arial"/>
          <w:color w:val="000000"/>
          <w:sz w:val="24"/>
          <w:szCs w:val="24"/>
        </w:rPr>
        <w:t xml:space="preserve"> otázkami </w:t>
      </w:r>
      <w:r w:rsidR="008A2260" w:rsidRPr="008A2260">
        <w:rPr>
          <w:rFonts w:ascii="Arial" w:hAnsi="Arial" w:cs="Arial"/>
          <w:color w:val="000000"/>
          <w:sz w:val="24"/>
          <w:szCs w:val="24"/>
        </w:rPr>
        <w:t>životní</w:t>
      </w:r>
      <w:r w:rsidR="008A2260">
        <w:rPr>
          <w:rFonts w:ascii="Arial" w:hAnsi="Arial" w:cs="Arial"/>
          <w:color w:val="000000"/>
          <w:sz w:val="24"/>
          <w:szCs w:val="24"/>
        </w:rPr>
        <w:t>ho</w:t>
      </w:r>
      <w:r w:rsidR="008A2260" w:rsidRPr="008A2260">
        <w:rPr>
          <w:rFonts w:ascii="Arial" w:hAnsi="Arial" w:cs="Arial"/>
          <w:color w:val="000000"/>
          <w:sz w:val="24"/>
          <w:szCs w:val="24"/>
        </w:rPr>
        <w:t xml:space="preserve"> prostředí</w:t>
      </w:r>
      <w:r w:rsidR="008A2260">
        <w:rPr>
          <w:rFonts w:ascii="Arial" w:hAnsi="Arial" w:cs="Arial"/>
          <w:color w:val="000000"/>
          <w:sz w:val="24"/>
          <w:szCs w:val="24"/>
        </w:rPr>
        <w:t xml:space="preserve">, </w:t>
      </w:r>
      <w:r w:rsidR="008A2260" w:rsidRPr="008A2260">
        <w:rPr>
          <w:rFonts w:ascii="Arial" w:hAnsi="Arial" w:cs="Arial"/>
          <w:color w:val="000000"/>
          <w:sz w:val="24"/>
          <w:szCs w:val="24"/>
        </w:rPr>
        <w:t>změn</w:t>
      </w:r>
      <w:r w:rsidR="008A2260">
        <w:rPr>
          <w:rFonts w:ascii="Arial" w:hAnsi="Arial" w:cs="Arial"/>
          <w:color w:val="000000"/>
          <w:sz w:val="24"/>
          <w:szCs w:val="24"/>
        </w:rPr>
        <w:t>y</w:t>
      </w:r>
      <w:r w:rsidR="008A2260" w:rsidRPr="008A2260">
        <w:rPr>
          <w:rFonts w:ascii="Arial" w:hAnsi="Arial" w:cs="Arial"/>
          <w:color w:val="000000"/>
          <w:sz w:val="24"/>
          <w:szCs w:val="24"/>
        </w:rPr>
        <w:t xml:space="preserve"> klimatu</w:t>
      </w:r>
      <w:r w:rsidR="00A10486">
        <w:rPr>
          <w:rFonts w:ascii="Arial" w:hAnsi="Arial" w:cs="Arial"/>
          <w:color w:val="000000"/>
          <w:sz w:val="24"/>
          <w:szCs w:val="24"/>
        </w:rPr>
        <w:t> </w:t>
      </w:r>
      <w:r w:rsidR="008A2260" w:rsidRPr="008A2260">
        <w:rPr>
          <w:rFonts w:ascii="Arial" w:hAnsi="Arial" w:cs="Arial"/>
          <w:color w:val="000000"/>
          <w:sz w:val="24"/>
          <w:szCs w:val="24"/>
        </w:rPr>
        <w:t>(33</w:t>
      </w:r>
      <w:r w:rsidR="00A10486">
        <w:rPr>
          <w:rFonts w:ascii="Arial" w:hAnsi="Arial" w:cs="Arial"/>
          <w:color w:val="000000"/>
          <w:sz w:val="24"/>
          <w:szCs w:val="24"/>
        </w:rPr>
        <w:t> </w:t>
      </w:r>
      <w:r w:rsidR="008A2260" w:rsidRPr="008A2260">
        <w:rPr>
          <w:rFonts w:ascii="Arial" w:hAnsi="Arial" w:cs="Arial"/>
          <w:color w:val="000000"/>
          <w:sz w:val="24"/>
          <w:szCs w:val="24"/>
        </w:rPr>
        <w:t>%)</w:t>
      </w:r>
      <w:r w:rsidR="008A2260">
        <w:rPr>
          <w:rFonts w:ascii="Arial" w:hAnsi="Arial" w:cs="Arial"/>
          <w:color w:val="000000"/>
          <w:sz w:val="24"/>
          <w:szCs w:val="24"/>
        </w:rPr>
        <w:t xml:space="preserve">, </w:t>
      </w:r>
      <w:r w:rsidR="008A2260" w:rsidRPr="008A2260">
        <w:rPr>
          <w:rFonts w:ascii="Arial" w:hAnsi="Arial" w:cs="Arial"/>
          <w:color w:val="000000"/>
          <w:sz w:val="24"/>
          <w:szCs w:val="24"/>
        </w:rPr>
        <w:t>nelegální migrac</w:t>
      </w:r>
      <w:r w:rsidR="008A2260">
        <w:rPr>
          <w:rFonts w:ascii="Arial" w:hAnsi="Arial" w:cs="Arial"/>
          <w:color w:val="000000"/>
          <w:sz w:val="24"/>
          <w:szCs w:val="24"/>
        </w:rPr>
        <w:t>e</w:t>
      </w:r>
      <w:r w:rsidR="008A2260" w:rsidRPr="008A2260">
        <w:rPr>
          <w:rFonts w:ascii="Arial" w:hAnsi="Arial" w:cs="Arial"/>
          <w:color w:val="000000"/>
          <w:sz w:val="24"/>
          <w:szCs w:val="24"/>
        </w:rPr>
        <w:t xml:space="preserve"> (33</w:t>
      </w:r>
      <w:r w:rsidR="00A10486">
        <w:rPr>
          <w:rFonts w:ascii="Arial" w:hAnsi="Arial" w:cs="Arial"/>
          <w:color w:val="000000"/>
          <w:sz w:val="24"/>
          <w:szCs w:val="24"/>
        </w:rPr>
        <w:t> </w:t>
      </w:r>
      <w:r w:rsidR="008A2260" w:rsidRPr="008A2260">
        <w:rPr>
          <w:rFonts w:ascii="Arial" w:hAnsi="Arial" w:cs="Arial"/>
          <w:color w:val="000000"/>
          <w:sz w:val="24"/>
          <w:szCs w:val="24"/>
        </w:rPr>
        <w:t>%), bezpečnost</w:t>
      </w:r>
      <w:r w:rsidR="008A2260">
        <w:rPr>
          <w:rFonts w:ascii="Arial" w:hAnsi="Arial" w:cs="Arial"/>
          <w:color w:val="000000"/>
          <w:sz w:val="24"/>
          <w:szCs w:val="24"/>
        </w:rPr>
        <w:t>i</w:t>
      </w:r>
      <w:r w:rsidR="008A2260" w:rsidRPr="008A2260">
        <w:rPr>
          <w:rFonts w:ascii="Arial" w:hAnsi="Arial" w:cs="Arial"/>
          <w:color w:val="000000"/>
          <w:sz w:val="24"/>
          <w:szCs w:val="24"/>
        </w:rPr>
        <w:t xml:space="preserve"> a obran</w:t>
      </w:r>
      <w:r w:rsidR="008A2260">
        <w:rPr>
          <w:rFonts w:ascii="Arial" w:hAnsi="Arial" w:cs="Arial"/>
          <w:color w:val="000000"/>
          <w:sz w:val="24"/>
          <w:szCs w:val="24"/>
        </w:rPr>
        <w:t>y</w:t>
      </w:r>
      <w:r w:rsidR="008A2260" w:rsidRPr="008A2260">
        <w:rPr>
          <w:rFonts w:ascii="Arial" w:hAnsi="Arial" w:cs="Arial"/>
          <w:color w:val="000000"/>
          <w:sz w:val="24"/>
          <w:szCs w:val="24"/>
        </w:rPr>
        <w:t xml:space="preserve"> (29 %) a válk</w:t>
      </w:r>
      <w:r w:rsidR="008A2260">
        <w:rPr>
          <w:rFonts w:ascii="Arial" w:hAnsi="Arial" w:cs="Arial"/>
          <w:color w:val="000000"/>
          <w:sz w:val="24"/>
          <w:szCs w:val="24"/>
        </w:rPr>
        <w:t>y</w:t>
      </w:r>
      <w:r w:rsidR="008A2260" w:rsidRPr="008A2260">
        <w:rPr>
          <w:rFonts w:ascii="Arial" w:hAnsi="Arial" w:cs="Arial"/>
          <w:color w:val="000000"/>
          <w:sz w:val="24"/>
          <w:szCs w:val="24"/>
        </w:rPr>
        <w:t xml:space="preserve"> na Ukrajině (25 %).</w:t>
      </w:r>
      <w:r w:rsidR="008A2260">
        <w:rPr>
          <w:rFonts w:ascii="Arial" w:hAnsi="Arial" w:cs="Arial"/>
          <w:color w:val="000000"/>
          <w:sz w:val="24"/>
          <w:szCs w:val="24"/>
        </w:rPr>
        <w:t xml:space="preserve"> Dle respondentů považují občané</w:t>
      </w:r>
      <w:r w:rsidR="008A2260" w:rsidRPr="008A2260">
        <w:rPr>
          <w:rFonts w:ascii="Arial" w:hAnsi="Arial" w:cs="Arial"/>
          <w:color w:val="000000"/>
          <w:sz w:val="24"/>
          <w:szCs w:val="24"/>
        </w:rPr>
        <w:t xml:space="preserve"> EU ve srovnání s jinými zeměmi světa </w:t>
      </w:r>
      <w:r w:rsidR="008A2260">
        <w:rPr>
          <w:rFonts w:ascii="Arial" w:hAnsi="Arial" w:cs="Arial"/>
          <w:color w:val="000000"/>
          <w:sz w:val="24"/>
          <w:szCs w:val="24"/>
        </w:rPr>
        <w:t xml:space="preserve">za devízu EU </w:t>
      </w:r>
      <w:r w:rsidR="008A2260" w:rsidRPr="008A2260">
        <w:rPr>
          <w:rFonts w:ascii="Arial" w:hAnsi="Arial" w:cs="Arial"/>
          <w:color w:val="000000"/>
          <w:sz w:val="24"/>
          <w:szCs w:val="24"/>
        </w:rPr>
        <w:t>dodržování základních práv a hodnot a svobodu slova a projevu (53 %).</w:t>
      </w:r>
    </w:p>
    <w:p w14:paraId="0D4B1F80" w14:textId="22489A3E" w:rsidR="00A41730" w:rsidRDefault="008A2260" w:rsidP="008A2260">
      <w:pPr>
        <w:shd w:val="clear" w:color="auto" w:fill="FFFFFF"/>
        <w:spacing w:line="240" w:lineRule="auto"/>
        <w:jc w:val="both"/>
        <w:outlineLvl w:val="0"/>
        <w:rPr>
          <w:rFonts w:ascii="Arial" w:hAnsi="Arial" w:cs="Arial"/>
          <w:color w:val="000000"/>
          <w:sz w:val="24"/>
          <w:szCs w:val="24"/>
        </w:rPr>
      </w:pPr>
      <w:r>
        <w:rPr>
          <w:rFonts w:ascii="Arial" w:hAnsi="Arial" w:cs="Arial"/>
          <w:color w:val="000000"/>
          <w:sz w:val="24"/>
          <w:szCs w:val="24"/>
        </w:rPr>
        <w:t xml:space="preserve">Obavy </w:t>
      </w:r>
      <w:r w:rsidRPr="008A2260">
        <w:rPr>
          <w:rFonts w:ascii="Arial" w:hAnsi="Arial" w:cs="Arial"/>
          <w:color w:val="000000"/>
          <w:sz w:val="24"/>
          <w:szCs w:val="24"/>
        </w:rPr>
        <w:t xml:space="preserve">o bezpečnost EU v příštích pěti letech pociťuje 64 % </w:t>
      </w:r>
      <w:r>
        <w:rPr>
          <w:rFonts w:ascii="Arial" w:hAnsi="Arial" w:cs="Arial"/>
          <w:color w:val="000000"/>
          <w:sz w:val="24"/>
          <w:szCs w:val="24"/>
        </w:rPr>
        <w:t xml:space="preserve">respondentů, </w:t>
      </w:r>
      <w:r w:rsidRPr="008A2260">
        <w:rPr>
          <w:rFonts w:ascii="Arial" w:hAnsi="Arial" w:cs="Arial"/>
          <w:color w:val="000000"/>
          <w:sz w:val="24"/>
          <w:szCs w:val="24"/>
        </w:rPr>
        <w:t>důvěru ve výkonnost hospodářství EU v příštích pěti letech má 51 % respondentů, zatímco 45</w:t>
      </w:r>
      <w:r w:rsidR="00A10486">
        <w:rPr>
          <w:rFonts w:ascii="Arial" w:hAnsi="Arial" w:cs="Arial"/>
          <w:color w:val="000000"/>
          <w:sz w:val="24"/>
          <w:szCs w:val="24"/>
        </w:rPr>
        <w:t> </w:t>
      </w:r>
      <w:r w:rsidRPr="008A2260">
        <w:rPr>
          <w:rFonts w:ascii="Arial" w:hAnsi="Arial" w:cs="Arial"/>
          <w:color w:val="000000"/>
          <w:sz w:val="24"/>
          <w:szCs w:val="24"/>
        </w:rPr>
        <w:t>% je skeptičtějších.</w:t>
      </w:r>
    </w:p>
    <w:p w14:paraId="3A7C8A37" w14:textId="2D5F729C" w:rsidR="005B0392" w:rsidRPr="00112D25" w:rsidRDefault="008A2260" w:rsidP="00112D25">
      <w:pPr>
        <w:shd w:val="clear" w:color="auto" w:fill="FFFFFF"/>
        <w:spacing w:line="240" w:lineRule="auto"/>
        <w:jc w:val="both"/>
        <w:outlineLvl w:val="0"/>
        <w:rPr>
          <w:rFonts w:ascii="Arial" w:hAnsi="Arial" w:cs="Arial"/>
          <w:sz w:val="24"/>
          <w:szCs w:val="24"/>
        </w:rPr>
      </w:pPr>
      <w:r>
        <w:rPr>
          <w:rFonts w:ascii="Arial" w:hAnsi="Arial" w:cs="Arial"/>
          <w:sz w:val="24"/>
          <w:szCs w:val="24"/>
        </w:rPr>
        <w:t xml:space="preserve">Průzkum je v angličtině k dispozici zde: </w:t>
      </w:r>
      <w:hyperlink r:id="rId9" w:history="1">
        <w:r w:rsidRPr="00730AE7">
          <w:rPr>
            <w:rStyle w:val="Hypertextovodkaz"/>
            <w:rFonts w:ascii="Arial" w:hAnsi="Arial" w:cs="Arial"/>
            <w:sz w:val="24"/>
            <w:szCs w:val="24"/>
          </w:rPr>
          <w:t>https://europa.eu/eurobarometer/surveys/detail/3232</w:t>
        </w:r>
      </w:hyperlink>
    </w:p>
    <w:p w14:paraId="3D12B84D" w14:textId="56578045" w:rsidR="00084091" w:rsidRPr="00084091" w:rsidRDefault="00F773E4" w:rsidP="00084091">
      <w:pPr>
        <w:rPr>
          <w:rFonts w:ascii="Arial" w:hAnsi="Arial" w:cs="Arial"/>
          <w:b/>
          <w:bCs/>
          <w:color w:val="4472C4" w:themeColor="accent1"/>
          <w:sz w:val="32"/>
          <w:szCs w:val="32"/>
        </w:rPr>
      </w:pPr>
      <w:r>
        <w:rPr>
          <w:rFonts w:cs="Calibri"/>
          <w:noProof/>
          <w:sz w:val="24"/>
          <w:szCs w:val="24"/>
        </w:rPr>
        <w:drawing>
          <wp:inline distT="0" distB="0" distL="0" distR="0" wp14:anchorId="5494C488" wp14:editId="6A446B32">
            <wp:extent cx="372110" cy="372110"/>
            <wp:effectExtent l="0" t="0" r="8890" b="8890"/>
            <wp:docPr id="1979335890" name="Obrázek 197933589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084091">
        <w:rPr>
          <w:rFonts w:ascii="Arial" w:hAnsi="Arial" w:cs="Arial"/>
          <w:b/>
          <w:bCs/>
          <w:color w:val="4472C4" w:themeColor="accent1"/>
          <w:sz w:val="32"/>
          <w:szCs w:val="32"/>
        </w:rPr>
        <w:t>G</w:t>
      </w:r>
      <w:r w:rsidR="00084091" w:rsidRPr="00084091">
        <w:rPr>
          <w:rFonts w:ascii="Arial" w:hAnsi="Arial" w:cs="Arial"/>
          <w:b/>
          <w:bCs/>
          <w:color w:val="4472C4" w:themeColor="accent1"/>
          <w:sz w:val="32"/>
          <w:szCs w:val="32"/>
        </w:rPr>
        <w:t>lobální dohod</w:t>
      </w:r>
      <w:r w:rsidR="00084091">
        <w:rPr>
          <w:rFonts w:ascii="Arial" w:hAnsi="Arial" w:cs="Arial"/>
          <w:b/>
          <w:bCs/>
          <w:color w:val="4472C4" w:themeColor="accent1"/>
          <w:sz w:val="32"/>
          <w:szCs w:val="32"/>
        </w:rPr>
        <w:t>a</w:t>
      </w:r>
      <w:r w:rsidR="00084091" w:rsidRPr="00084091">
        <w:rPr>
          <w:rFonts w:ascii="Arial" w:hAnsi="Arial" w:cs="Arial"/>
          <w:b/>
          <w:bCs/>
          <w:color w:val="4472C4" w:themeColor="accent1"/>
          <w:sz w:val="32"/>
          <w:szCs w:val="32"/>
        </w:rPr>
        <w:t xml:space="preserve"> o elektronickém obchodu ve WTO</w:t>
      </w:r>
    </w:p>
    <w:p w14:paraId="6FF3855B" w14:textId="20E718A1" w:rsidR="00084091" w:rsidRPr="00084091" w:rsidRDefault="00084091" w:rsidP="00084091">
      <w:pPr>
        <w:pStyle w:val="Normlnweb"/>
        <w:jc w:val="both"/>
        <w:rPr>
          <w:rFonts w:ascii="Arial" w:eastAsia="Calibri" w:hAnsi="Arial" w:cs="Arial"/>
          <w:lang w:eastAsia="en-US"/>
        </w:rPr>
      </w:pPr>
      <w:r>
        <w:rPr>
          <w:rFonts w:ascii="Arial" w:eastAsia="Calibri" w:hAnsi="Arial" w:cs="Arial"/>
          <w:lang w:eastAsia="en-US"/>
        </w:rPr>
        <w:t xml:space="preserve">Dne 26. července došlo ke zveřejnění </w:t>
      </w:r>
      <w:r w:rsidRPr="00084091">
        <w:rPr>
          <w:rFonts w:ascii="Arial" w:eastAsia="Calibri" w:hAnsi="Arial" w:cs="Arial"/>
          <w:lang w:eastAsia="en-US"/>
        </w:rPr>
        <w:t>dohody o elektronickém obchodu vyjednané v rámci Světové obchodní organizace (WTO). Zveřejnění je výsledkem pěti let zvláštních jednání, která vedlo více než 90 členů WTO. EU při jednáních o těchto prvních globálních pravidlech digitálního obchodu hrála aktivní úlohu.</w:t>
      </w:r>
    </w:p>
    <w:p w14:paraId="079E2A9D" w14:textId="41F02BC8" w:rsidR="00084091" w:rsidRPr="00084091" w:rsidRDefault="00084091" w:rsidP="00084091">
      <w:pPr>
        <w:pStyle w:val="Normlnweb"/>
        <w:jc w:val="both"/>
        <w:rPr>
          <w:rFonts w:ascii="Arial" w:hAnsi="Arial" w:cs="Arial"/>
        </w:rPr>
      </w:pPr>
      <w:r w:rsidRPr="00084091">
        <w:rPr>
          <w:rFonts w:ascii="Arial" w:hAnsi="Arial" w:cs="Arial"/>
        </w:rPr>
        <w:t xml:space="preserve">Dohoda </w:t>
      </w:r>
      <w:r>
        <w:rPr>
          <w:rFonts w:ascii="Arial" w:hAnsi="Arial" w:cs="Arial"/>
        </w:rPr>
        <w:t xml:space="preserve">si klade za cíl </w:t>
      </w:r>
      <w:r w:rsidRPr="00084091">
        <w:rPr>
          <w:rFonts w:ascii="Arial" w:hAnsi="Arial" w:cs="Arial"/>
        </w:rPr>
        <w:t>usnadn</w:t>
      </w:r>
      <w:r>
        <w:rPr>
          <w:rFonts w:ascii="Arial" w:hAnsi="Arial" w:cs="Arial"/>
        </w:rPr>
        <w:t>it</w:t>
      </w:r>
      <w:r w:rsidRPr="00084091">
        <w:rPr>
          <w:rFonts w:ascii="Arial" w:hAnsi="Arial" w:cs="Arial"/>
        </w:rPr>
        <w:t xml:space="preserve"> přeshraniční elektronické transakce</w:t>
      </w:r>
      <w:r>
        <w:rPr>
          <w:rFonts w:ascii="Arial" w:hAnsi="Arial" w:cs="Arial"/>
        </w:rPr>
        <w:t xml:space="preserve">, </w:t>
      </w:r>
      <w:r w:rsidRPr="00084091">
        <w:rPr>
          <w:rFonts w:ascii="Arial" w:hAnsi="Arial" w:cs="Arial"/>
        </w:rPr>
        <w:t>sníž</w:t>
      </w:r>
      <w:r>
        <w:rPr>
          <w:rFonts w:ascii="Arial" w:hAnsi="Arial" w:cs="Arial"/>
        </w:rPr>
        <w:t>it</w:t>
      </w:r>
      <w:r w:rsidRPr="00084091">
        <w:rPr>
          <w:rFonts w:ascii="Arial" w:hAnsi="Arial" w:cs="Arial"/>
        </w:rPr>
        <w:t xml:space="preserve"> překážky digitálního obchodu</w:t>
      </w:r>
      <w:r>
        <w:rPr>
          <w:rFonts w:ascii="Arial" w:hAnsi="Arial" w:cs="Arial"/>
        </w:rPr>
        <w:t xml:space="preserve"> </w:t>
      </w:r>
      <w:r w:rsidRPr="00084091">
        <w:rPr>
          <w:rFonts w:ascii="Arial" w:hAnsi="Arial" w:cs="Arial"/>
        </w:rPr>
        <w:t>a podpoř</w:t>
      </w:r>
      <w:r>
        <w:rPr>
          <w:rFonts w:ascii="Arial" w:hAnsi="Arial" w:cs="Arial"/>
        </w:rPr>
        <w:t>it</w:t>
      </w:r>
      <w:r w:rsidRPr="00084091">
        <w:rPr>
          <w:rFonts w:ascii="Arial" w:hAnsi="Arial" w:cs="Arial"/>
        </w:rPr>
        <w:t xml:space="preserve"> inovace v elektronickém obchodu.</w:t>
      </w:r>
      <w:r>
        <w:rPr>
          <w:rFonts w:ascii="Arial" w:hAnsi="Arial" w:cs="Arial"/>
        </w:rPr>
        <w:t xml:space="preserve"> Má rovněž</w:t>
      </w:r>
      <w:r w:rsidRPr="00084091">
        <w:rPr>
          <w:rFonts w:ascii="Arial" w:hAnsi="Arial" w:cs="Arial"/>
        </w:rPr>
        <w:t xml:space="preserve"> posíl</w:t>
      </w:r>
      <w:r>
        <w:rPr>
          <w:rFonts w:ascii="Arial" w:hAnsi="Arial" w:cs="Arial"/>
        </w:rPr>
        <w:t>it</w:t>
      </w:r>
      <w:r w:rsidRPr="00084091">
        <w:rPr>
          <w:rFonts w:ascii="Arial" w:hAnsi="Arial" w:cs="Arial"/>
        </w:rPr>
        <w:t xml:space="preserve"> začlenění rozvíjejících se a nejméně rozvinutých zúčastněných členů do informační společnosti a jejich hospodářský růst.</w:t>
      </w:r>
    </w:p>
    <w:p w14:paraId="063F419B" w14:textId="1136F107" w:rsidR="00084091" w:rsidRPr="00084091" w:rsidRDefault="00084091" w:rsidP="00084091">
      <w:pPr>
        <w:pStyle w:val="Normlnweb"/>
        <w:jc w:val="both"/>
        <w:rPr>
          <w:rFonts w:ascii="Arial" w:hAnsi="Arial" w:cs="Arial"/>
        </w:rPr>
      </w:pPr>
      <w:r>
        <w:rPr>
          <w:rFonts w:ascii="Arial" w:hAnsi="Arial" w:cs="Arial"/>
        </w:rPr>
        <w:t>Dohoda</w:t>
      </w:r>
      <w:r w:rsidRPr="00084091">
        <w:rPr>
          <w:rFonts w:ascii="Arial" w:hAnsi="Arial" w:cs="Arial"/>
        </w:rPr>
        <w:t xml:space="preserve"> o elektronickém obchodu obsahuje soubor základních pravidel pro digitální obchod:</w:t>
      </w:r>
      <w:r>
        <w:rPr>
          <w:rFonts w:ascii="Arial" w:hAnsi="Arial" w:cs="Arial"/>
        </w:rPr>
        <w:t xml:space="preserve"> </w:t>
      </w:r>
      <w:r w:rsidRPr="00084091">
        <w:rPr>
          <w:rFonts w:ascii="Arial" w:hAnsi="Arial" w:cs="Arial"/>
        </w:rPr>
        <w:t>podporu plynulého digitálního obchodu na vnitrostátní i přeshraniční úrovni, včetně elektronických podpisů a elektronických faktur</w:t>
      </w:r>
      <w:r>
        <w:rPr>
          <w:rFonts w:ascii="Arial" w:hAnsi="Arial" w:cs="Arial"/>
        </w:rPr>
        <w:t xml:space="preserve">; </w:t>
      </w:r>
      <w:r w:rsidRPr="00084091">
        <w:rPr>
          <w:rFonts w:ascii="Arial" w:hAnsi="Arial" w:cs="Arial"/>
        </w:rPr>
        <w:t>ustanovení ke zvýšení důvěry spotřebitelů i podniků v prostředí digitálního obchodu, zejména posílením ochrany spotřebitelů on-line;</w:t>
      </w:r>
      <w:r>
        <w:rPr>
          <w:rFonts w:ascii="Arial" w:hAnsi="Arial" w:cs="Arial"/>
        </w:rPr>
        <w:t xml:space="preserve"> </w:t>
      </w:r>
      <w:r w:rsidRPr="00084091">
        <w:rPr>
          <w:rFonts w:ascii="Arial" w:hAnsi="Arial" w:cs="Arial"/>
        </w:rPr>
        <w:t>ustanovení pro vytvoření spolehlivějšího a cenově dostupnějšího prostředí, včetně spolupráce v oblasti kybernetických bezpečnostních rizik</w:t>
      </w:r>
      <w:r>
        <w:rPr>
          <w:rFonts w:ascii="Arial" w:hAnsi="Arial" w:cs="Arial"/>
        </w:rPr>
        <w:t xml:space="preserve">; </w:t>
      </w:r>
      <w:r w:rsidRPr="00084091">
        <w:rPr>
          <w:rFonts w:ascii="Arial" w:hAnsi="Arial" w:cs="Arial"/>
        </w:rPr>
        <w:t>zákaz ukládat cla na elektronické přenosy</w:t>
      </w:r>
      <w:r>
        <w:rPr>
          <w:rFonts w:ascii="Arial" w:hAnsi="Arial" w:cs="Arial"/>
        </w:rPr>
        <w:t xml:space="preserve">; a </w:t>
      </w:r>
      <w:r w:rsidRPr="00084091">
        <w:rPr>
          <w:rFonts w:ascii="Arial" w:hAnsi="Arial" w:cs="Arial"/>
        </w:rPr>
        <w:t>iniciativy na usnadnění účasti spotřebitelů a podniků z rozvojových zemí na digitálním obchodu.</w:t>
      </w:r>
    </w:p>
    <w:p w14:paraId="28D01D63" w14:textId="13B8E2D2" w:rsidR="00E9582C" w:rsidRDefault="00E9582C" w:rsidP="00E9582C">
      <w:pPr>
        <w:pStyle w:val="Normlnweb"/>
        <w:jc w:val="both"/>
        <w:rPr>
          <w:rFonts w:ascii="Arial" w:eastAsia="Calibri" w:hAnsi="Arial" w:cs="Arial"/>
          <w:lang w:eastAsia="en-US"/>
        </w:rPr>
      </w:pPr>
    </w:p>
    <w:p w14:paraId="60D2E483" w14:textId="15956C34" w:rsidR="00084091" w:rsidRPr="00084091" w:rsidRDefault="00084091" w:rsidP="00C22D04">
      <w:pPr>
        <w:pStyle w:val="Normlnweb"/>
        <w:jc w:val="both"/>
      </w:pPr>
      <w:r>
        <w:rPr>
          <w:rFonts w:ascii="Arial" w:eastAsia="Calibri" w:hAnsi="Arial" w:cs="Arial"/>
          <w:lang w:eastAsia="en-US"/>
        </w:rPr>
        <w:t xml:space="preserve">Text sjednané dohody je </w:t>
      </w:r>
      <w:r w:rsidR="00F773E4" w:rsidRPr="00144159">
        <w:rPr>
          <w:rFonts w:ascii="Arial" w:eastAsia="Calibri" w:hAnsi="Arial" w:cs="Arial"/>
          <w:lang w:eastAsia="en-US"/>
        </w:rPr>
        <w:t xml:space="preserve">k dispozici </w:t>
      </w:r>
      <w:r w:rsidR="00112D25" w:rsidRPr="00144159">
        <w:rPr>
          <w:rFonts w:ascii="Arial" w:eastAsia="Calibri" w:hAnsi="Arial" w:cs="Arial"/>
          <w:lang w:eastAsia="en-US"/>
        </w:rPr>
        <w:t>v </w:t>
      </w:r>
      <w:r>
        <w:rPr>
          <w:rFonts w:ascii="Arial" w:eastAsia="Calibri" w:hAnsi="Arial" w:cs="Arial"/>
          <w:lang w:eastAsia="en-US"/>
        </w:rPr>
        <w:t>angličtině</w:t>
      </w:r>
      <w:r w:rsidR="00112D25" w:rsidRPr="00144159">
        <w:rPr>
          <w:rFonts w:ascii="Arial" w:eastAsia="Calibri" w:hAnsi="Arial" w:cs="Arial"/>
          <w:lang w:eastAsia="en-US"/>
        </w:rPr>
        <w:t xml:space="preserve"> </w:t>
      </w:r>
      <w:r w:rsidR="00F773E4" w:rsidRPr="00144159">
        <w:rPr>
          <w:rFonts w:ascii="Arial" w:eastAsia="Calibri" w:hAnsi="Arial" w:cs="Arial"/>
          <w:lang w:eastAsia="en-US"/>
        </w:rPr>
        <w:t>zde:</w:t>
      </w:r>
      <w:r w:rsidR="00112D25" w:rsidRPr="00144159">
        <w:rPr>
          <w:rFonts w:ascii="Arial" w:eastAsia="Calibri" w:hAnsi="Arial" w:cs="Arial"/>
          <w:lang w:eastAsia="en-US"/>
        </w:rPr>
        <w:t xml:space="preserve"> </w:t>
      </w:r>
      <w:hyperlink r:id="rId10" w:history="1">
        <w:r w:rsidRPr="00084091">
          <w:rPr>
            <w:rStyle w:val="Hypertextovodkaz"/>
            <w:rFonts w:ascii="Arial" w:hAnsi="Arial" w:cs="Arial"/>
          </w:rPr>
          <w:t>https://docs.wto.org/dol2fe/Pages/SS/directdoc.aspx?filename=q:/INF/ECOM/87.pdf&amp;Open=True</w:t>
        </w:r>
      </w:hyperlink>
    </w:p>
    <w:p w14:paraId="133154FA" w14:textId="77777777" w:rsidR="00C22D04" w:rsidRDefault="00C22D04" w:rsidP="00C22D04">
      <w:pPr>
        <w:pStyle w:val="Normlnweb"/>
        <w:jc w:val="both"/>
        <w:rPr>
          <w:rFonts w:ascii="Arial" w:hAnsi="Arial" w:cs="Arial"/>
          <w:color w:val="000000"/>
        </w:rPr>
      </w:pPr>
    </w:p>
    <w:p w14:paraId="415BA3EC" w14:textId="5CA2AF8B" w:rsidR="00D3770A" w:rsidRDefault="002F5309" w:rsidP="00084091">
      <w:pPr>
        <w:shd w:val="clear" w:color="auto" w:fill="FFFFFF"/>
        <w:jc w:val="both"/>
        <w:rPr>
          <w:rFonts w:ascii="Arial" w:hAnsi="Arial" w:cs="Arial"/>
          <w:b/>
          <w:bCs/>
          <w:color w:val="4472C4" w:themeColor="accent1"/>
          <w:sz w:val="32"/>
          <w:szCs w:val="32"/>
        </w:rPr>
      </w:pPr>
      <w:r>
        <w:rPr>
          <w:rFonts w:cs="Calibri"/>
          <w:noProof/>
          <w:sz w:val="24"/>
          <w:szCs w:val="24"/>
        </w:rPr>
        <w:drawing>
          <wp:inline distT="0" distB="0" distL="0" distR="0" wp14:anchorId="11EEA8BC" wp14:editId="0BCBE933">
            <wp:extent cx="372110" cy="372110"/>
            <wp:effectExtent l="0" t="0" r="8890" b="8890"/>
            <wp:docPr id="1091875279" name="Obrázek 109187527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084091">
        <w:rPr>
          <w:rFonts w:ascii="Arial" w:hAnsi="Arial" w:cs="Arial"/>
          <w:b/>
          <w:bCs/>
          <w:color w:val="4472C4" w:themeColor="accent1"/>
          <w:sz w:val="32"/>
          <w:szCs w:val="32"/>
        </w:rPr>
        <w:t>P</w:t>
      </w:r>
      <w:r w:rsidR="00084091" w:rsidRPr="00084091">
        <w:rPr>
          <w:rFonts w:ascii="Arial" w:hAnsi="Arial" w:cs="Arial"/>
          <w:b/>
          <w:bCs/>
          <w:color w:val="4472C4" w:themeColor="accent1"/>
          <w:sz w:val="32"/>
          <w:szCs w:val="32"/>
        </w:rPr>
        <w:t>rvní převod výnosů ve výši 1,5 miliardy eur z imobilizovaných ruských aktiv</w:t>
      </w:r>
      <w:r w:rsidR="00084091">
        <w:rPr>
          <w:rFonts w:ascii="Arial" w:hAnsi="Arial" w:cs="Arial"/>
          <w:b/>
          <w:bCs/>
          <w:color w:val="4472C4" w:themeColor="accent1"/>
          <w:sz w:val="32"/>
          <w:szCs w:val="32"/>
        </w:rPr>
        <w:t xml:space="preserve"> Ukrajině</w:t>
      </w:r>
    </w:p>
    <w:p w14:paraId="312FE308" w14:textId="0E66A32E" w:rsidR="00084091" w:rsidRPr="00084091" w:rsidRDefault="00084091" w:rsidP="00084091">
      <w:pPr>
        <w:shd w:val="clear" w:color="auto" w:fill="FFFFFF"/>
        <w:suppressAutoHyphens w:val="0"/>
        <w:autoSpaceDN/>
        <w:spacing w:after="300" w:line="240" w:lineRule="auto"/>
        <w:jc w:val="both"/>
        <w:textAlignment w:val="auto"/>
        <w:rPr>
          <w:rFonts w:ascii="Arial" w:hAnsi="Arial" w:cs="Arial"/>
          <w:sz w:val="24"/>
          <w:szCs w:val="24"/>
        </w:rPr>
      </w:pPr>
      <w:bookmarkStart w:id="1" w:name="_Hlk157171079"/>
      <w:r w:rsidRPr="00084091">
        <w:rPr>
          <w:rFonts w:ascii="Arial" w:hAnsi="Arial" w:cs="Arial"/>
          <w:sz w:val="24"/>
          <w:szCs w:val="24"/>
        </w:rPr>
        <w:t>EU dne</w:t>
      </w:r>
      <w:r>
        <w:rPr>
          <w:rFonts w:ascii="Arial" w:hAnsi="Arial" w:cs="Arial"/>
          <w:sz w:val="24"/>
          <w:szCs w:val="24"/>
        </w:rPr>
        <w:t xml:space="preserve"> 26. července</w:t>
      </w:r>
      <w:r w:rsidRPr="00084091">
        <w:rPr>
          <w:rFonts w:ascii="Arial" w:hAnsi="Arial" w:cs="Arial"/>
          <w:sz w:val="24"/>
          <w:szCs w:val="24"/>
        </w:rPr>
        <w:t xml:space="preserve"> poskytla na podporu Ukrajiny první platbu ve výši 1,5 miliardy eur z imobilizovaných ruských aktiv. Tyto finanční prostředky půjdou nyní prostřednictvím </w:t>
      </w:r>
      <w:hyperlink r:id="rId11" w:history="1">
        <w:r w:rsidRPr="00084091">
          <w:rPr>
            <w:rStyle w:val="Hypertextovodkaz"/>
            <w:rFonts w:ascii="Arial" w:hAnsi="Arial" w:cs="Arial"/>
            <w:color w:val="auto"/>
            <w:sz w:val="24"/>
            <w:szCs w:val="24"/>
            <w:u w:val="none"/>
          </w:rPr>
          <w:t>Evropského mírového nástroje</w:t>
        </w:r>
      </w:hyperlink>
      <w:r w:rsidRPr="00084091">
        <w:rPr>
          <w:rFonts w:ascii="Arial" w:hAnsi="Arial" w:cs="Arial"/>
          <w:sz w:val="24"/>
          <w:szCs w:val="24"/>
        </w:rPr>
        <w:t> a </w:t>
      </w:r>
      <w:hyperlink r:id="rId12" w:history="1">
        <w:r w:rsidRPr="00084091">
          <w:rPr>
            <w:rStyle w:val="Hypertextovodkaz"/>
            <w:rFonts w:ascii="Arial" w:hAnsi="Arial" w:cs="Arial"/>
            <w:color w:val="auto"/>
            <w:sz w:val="24"/>
            <w:szCs w:val="24"/>
            <w:u w:val="none"/>
          </w:rPr>
          <w:t>Nástroje pro Ukrajinu</w:t>
        </w:r>
      </w:hyperlink>
      <w:r w:rsidRPr="00084091">
        <w:rPr>
          <w:rFonts w:ascii="Arial" w:hAnsi="Arial" w:cs="Arial"/>
          <w:sz w:val="24"/>
          <w:szCs w:val="24"/>
        </w:rPr>
        <w:t> na podporu vojenských kapacit Ukrajiny a rekonstrukce země.</w:t>
      </w:r>
      <w:r>
        <w:rPr>
          <w:rFonts w:ascii="Arial" w:hAnsi="Arial" w:cs="Arial"/>
          <w:sz w:val="24"/>
          <w:szCs w:val="24"/>
        </w:rPr>
        <w:t xml:space="preserve"> </w:t>
      </w:r>
      <w:r w:rsidRPr="00084091">
        <w:rPr>
          <w:rFonts w:ascii="Arial" w:hAnsi="Arial" w:cs="Arial"/>
          <w:sz w:val="24"/>
          <w:szCs w:val="24"/>
        </w:rPr>
        <w:t xml:space="preserve">Imobilizace aktiv Centrální banky Ruska je výsledkem sankcí EU vůči Rusku přijatých v reakci na jeho útočnou válku proti Ukrajině. Mimořádné příjmy vytvořené v této souvislosti subjekty z EU Rusku </w:t>
      </w:r>
      <w:proofErr w:type="gramStart"/>
      <w:r w:rsidRPr="00084091">
        <w:rPr>
          <w:rFonts w:ascii="Arial" w:hAnsi="Arial" w:cs="Arial"/>
          <w:sz w:val="24"/>
          <w:szCs w:val="24"/>
        </w:rPr>
        <w:t>nepatří</w:t>
      </w:r>
      <w:proofErr w:type="gramEnd"/>
      <w:r w:rsidRPr="00084091">
        <w:rPr>
          <w:rFonts w:ascii="Arial" w:hAnsi="Arial" w:cs="Arial"/>
          <w:sz w:val="24"/>
          <w:szCs w:val="24"/>
        </w:rPr>
        <w:t xml:space="preserve"> a mají je v držení centrální depozitáře cenných papírů. EU nyní začala tyto příjmy směrovat na Ukrajinu.</w:t>
      </w:r>
    </w:p>
    <w:p w14:paraId="4FB198E1" w14:textId="3D660871" w:rsidR="0025638E" w:rsidRPr="00E1555B" w:rsidRDefault="002F5309" w:rsidP="005557A8">
      <w:pPr>
        <w:shd w:val="clear" w:color="auto" w:fill="FFFFFF"/>
        <w:suppressAutoHyphens w:val="0"/>
        <w:autoSpaceDN/>
        <w:spacing w:after="300" w:line="240" w:lineRule="auto"/>
        <w:jc w:val="both"/>
        <w:textAlignment w:val="auto"/>
      </w:pPr>
      <w:r>
        <w:rPr>
          <w:rFonts w:ascii="Arial" w:hAnsi="Arial" w:cs="Arial"/>
          <w:sz w:val="24"/>
          <w:szCs w:val="24"/>
        </w:rPr>
        <w:t>Podrob</w:t>
      </w:r>
      <w:r w:rsidR="0025638E">
        <w:rPr>
          <w:rFonts w:ascii="Arial" w:hAnsi="Arial" w:cs="Arial"/>
          <w:sz w:val="24"/>
          <w:szCs w:val="24"/>
        </w:rPr>
        <w:t>nější</w:t>
      </w:r>
      <w:r>
        <w:rPr>
          <w:rFonts w:ascii="Arial" w:hAnsi="Arial" w:cs="Arial"/>
          <w:sz w:val="24"/>
          <w:szCs w:val="24"/>
        </w:rPr>
        <w:t xml:space="preserve"> informace jsou k dispozici </w:t>
      </w:r>
      <w:r w:rsidR="00987FE9">
        <w:rPr>
          <w:rFonts w:ascii="Arial" w:hAnsi="Arial" w:cs="Arial"/>
          <w:sz w:val="24"/>
          <w:szCs w:val="24"/>
        </w:rPr>
        <w:t>v </w:t>
      </w:r>
      <w:r w:rsidR="003A3BEE">
        <w:rPr>
          <w:rFonts w:ascii="Arial" w:hAnsi="Arial" w:cs="Arial"/>
          <w:sz w:val="24"/>
          <w:szCs w:val="24"/>
        </w:rPr>
        <w:t>češtině</w:t>
      </w:r>
      <w:r w:rsidR="00987FE9">
        <w:rPr>
          <w:rFonts w:ascii="Arial" w:hAnsi="Arial" w:cs="Arial"/>
          <w:sz w:val="24"/>
          <w:szCs w:val="24"/>
        </w:rPr>
        <w:t xml:space="preserve"> </w:t>
      </w:r>
      <w:r>
        <w:rPr>
          <w:rFonts w:ascii="Arial" w:hAnsi="Arial" w:cs="Arial"/>
          <w:sz w:val="24"/>
          <w:szCs w:val="24"/>
        </w:rPr>
        <w:t xml:space="preserve">zde: </w:t>
      </w:r>
      <w:bookmarkEnd w:id="1"/>
      <w:r w:rsidR="00987FE9">
        <w:rPr>
          <w:rFonts w:ascii="Arial" w:hAnsi="Arial" w:cs="Arial"/>
          <w:sz w:val="24"/>
          <w:szCs w:val="24"/>
        </w:rPr>
        <w:t xml:space="preserve"> </w:t>
      </w:r>
      <w:hyperlink r:id="rId13" w:history="1">
        <w:r w:rsidR="0025638E" w:rsidRPr="0025638E">
          <w:rPr>
            <w:rStyle w:val="Hypertextovodkaz"/>
            <w:rFonts w:ascii="Arial" w:hAnsi="Arial" w:cs="Arial"/>
            <w:sz w:val="24"/>
            <w:szCs w:val="24"/>
          </w:rPr>
          <w:t>https://ec.europa.eu/commission/presscorner/detail/cs/ip_24_4029</w:t>
        </w:r>
      </w:hyperlink>
    </w:p>
    <w:p w14:paraId="0081C59D" w14:textId="0B7490C2" w:rsidR="001B6D26" w:rsidRDefault="002F5309" w:rsidP="001B6D26">
      <w:pPr>
        <w:rPr>
          <w:rFonts w:ascii="Arial" w:hAnsi="Arial" w:cs="Arial"/>
          <w:b/>
          <w:bCs/>
          <w:color w:val="4472C4" w:themeColor="accent1"/>
          <w:sz w:val="32"/>
          <w:szCs w:val="32"/>
        </w:rPr>
      </w:pPr>
      <w:r>
        <w:rPr>
          <w:rFonts w:cs="Calibri"/>
          <w:noProof/>
          <w:sz w:val="24"/>
          <w:szCs w:val="24"/>
        </w:rPr>
        <w:drawing>
          <wp:inline distT="0" distB="0" distL="0" distR="0" wp14:anchorId="28BE0625" wp14:editId="1CFE9143">
            <wp:extent cx="372110" cy="372110"/>
            <wp:effectExtent l="0" t="0" r="8890" b="8890"/>
            <wp:docPr id="896598444" name="Obrázek 89659844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25638E">
        <w:rPr>
          <w:rFonts w:ascii="Arial" w:hAnsi="Arial" w:cs="Arial"/>
          <w:b/>
          <w:bCs/>
          <w:color w:val="4472C4" w:themeColor="accent1"/>
          <w:sz w:val="32"/>
          <w:szCs w:val="32"/>
        </w:rPr>
        <w:t>Nesprávná implementace</w:t>
      </w:r>
      <w:r w:rsidR="0025638E" w:rsidRPr="0025638E">
        <w:rPr>
          <w:rFonts w:ascii="Arial" w:hAnsi="Arial" w:cs="Arial"/>
          <w:b/>
          <w:bCs/>
          <w:color w:val="4472C4" w:themeColor="accent1"/>
          <w:sz w:val="32"/>
          <w:szCs w:val="32"/>
        </w:rPr>
        <w:t xml:space="preserve"> pravidla o právu na přístup k obhájci a na komunikaci po zatčení</w:t>
      </w:r>
      <w:r w:rsidR="0025638E">
        <w:rPr>
          <w:rFonts w:ascii="Arial" w:hAnsi="Arial" w:cs="Arial"/>
          <w:b/>
          <w:bCs/>
          <w:color w:val="4472C4" w:themeColor="accent1"/>
          <w:sz w:val="32"/>
          <w:szCs w:val="32"/>
        </w:rPr>
        <w:t xml:space="preserve"> Českem</w:t>
      </w:r>
    </w:p>
    <w:p w14:paraId="64D0F5EF" w14:textId="327E6F3F" w:rsidR="0025638E" w:rsidRDefault="0025638E" w:rsidP="0025638E">
      <w:pPr>
        <w:pStyle w:val="Normlnweb"/>
        <w:shd w:val="clear" w:color="auto" w:fill="FFFFFF"/>
        <w:spacing w:before="0" w:after="300"/>
        <w:jc w:val="both"/>
        <w:rPr>
          <w:rFonts w:ascii="Arial" w:hAnsi="Arial" w:cs="Arial"/>
        </w:rPr>
      </w:pPr>
      <w:r w:rsidRPr="0025638E">
        <w:rPr>
          <w:rFonts w:ascii="Arial" w:hAnsi="Arial" w:cs="Arial"/>
        </w:rPr>
        <w:t>Evropská komise se dne</w:t>
      </w:r>
      <w:r>
        <w:rPr>
          <w:rFonts w:ascii="Arial" w:hAnsi="Arial" w:cs="Arial"/>
        </w:rPr>
        <w:t xml:space="preserve"> 2</w:t>
      </w:r>
      <w:r w:rsidR="00A81BCB">
        <w:rPr>
          <w:rFonts w:ascii="Arial" w:hAnsi="Arial" w:cs="Arial"/>
        </w:rPr>
        <w:t>5</w:t>
      </w:r>
      <w:r>
        <w:rPr>
          <w:rFonts w:ascii="Arial" w:hAnsi="Arial" w:cs="Arial"/>
        </w:rPr>
        <w:t>. července</w:t>
      </w:r>
      <w:r w:rsidRPr="0025638E">
        <w:rPr>
          <w:rFonts w:ascii="Arial" w:hAnsi="Arial" w:cs="Arial"/>
        </w:rPr>
        <w:t xml:space="preserve"> rozhodla předložit Soudnímu dvoru EU věc</w:t>
      </w:r>
      <w:r>
        <w:rPr>
          <w:rFonts w:ascii="Arial" w:hAnsi="Arial" w:cs="Arial"/>
        </w:rPr>
        <w:t xml:space="preserve"> Česka, z důvodu nesprávné implementace </w:t>
      </w:r>
      <w:r w:rsidRPr="0025638E">
        <w:rPr>
          <w:rFonts w:ascii="Arial" w:hAnsi="Arial" w:cs="Arial"/>
        </w:rPr>
        <w:t>směrnic</w:t>
      </w:r>
      <w:r>
        <w:rPr>
          <w:rFonts w:ascii="Arial" w:hAnsi="Arial" w:cs="Arial"/>
        </w:rPr>
        <w:t>e</w:t>
      </w:r>
      <w:r w:rsidRPr="0025638E">
        <w:rPr>
          <w:rFonts w:ascii="Arial" w:hAnsi="Arial" w:cs="Arial"/>
        </w:rPr>
        <w:t xml:space="preserve"> 2013/48/EU o právu na přístup k obhájci a na komunikaci po zatčen</w:t>
      </w:r>
      <w:r>
        <w:rPr>
          <w:rFonts w:ascii="Arial" w:hAnsi="Arial" w:cs="Arial"/>
        </w:rPr>
        <w:t>í</w:t>
      </w:r>
      <w:r w:rsidRPr="0025638E">
        <w:rPr>
          <w:rFonts w:ascii="Arial" w:hAnsi="Arial" w:cs="Arial"/>
        </w:rPr>
        <w:t>. Lhůta</w:t>
      </w:r>
      <w:r>
        <w:rPr>
          <w:rFonts w:ascii="Arial" w:hAnsi="Arial" w:cs="Arial"/>
        </w:rPr>
        <w:t xml:space="preserve"> pro implementaci </w:t>
      </w:r>
      <w:r w:rsidRPr="0025638E">
        <w:rPr>
          <w:rFonts w:ascii="Arial" w:hAnsi="Arial" w:cs="Arial"/>
        </w:rPr>
        <w:t>uplynula 27. listopadu 2016.</w:t>
      </w:r>
      <w:r>
        <w:rPr>
          <w:rFonts w:ascii="Arial" w:hAnsi="Arial" w:cs="Arial"/>
        </w:rPr>
        <w:t xml:space="preserve"> </w:t>
      </w:r>
      <w:r w:rsidRPr="0025638E">
        <w:rPr>
          <w:rFonts w:ascii="Arial" w:hAnsi="Arial" w:cs="Arial"/>
        </w:rPr>
        <w:t>Dne </w:t>
      </w:r>
      <w:hyperlink r:id="rId14" w:history="1">
        <w:r w:rsidRPr="0025638E">
          <w:rPr>
            <w:rStyle w:val="Hypertextovodkaz"/>
            <w:rFonts w:ascii="Arial" w:hAnsi="Arial" w:cs="Arial"/>
            <w:color w:val="auto"/>
            <w:u w:val="none"/>
          </w:rPr>
          <w:t>23. září 2021</w:t>
        </w:r>
      </w:hyperlink>
      <w:r w:rsidRPr="0025638E">
        <w:rPr>
          <w:rFonts w:ascii="Arial" w:hAnsi="Arial" w:cs="Arial"/>
        </w:rPr>
        <w:t> zaslala Komise Česku výzvu k odstranění nedostatků. Komise zejména zjistila nedostatky týkající se možných odchylek od práva na přístup k obhájci, jakož i práva na informování třetí osoby v případě zbavení osobní svobody. Dne </w:t>
      </w:r>
      <w:hyperlink r:id="rId15" w:history="1">
        <w:r w:rsidRPr="0025638E">
          <w:rPr>
            <w:rStyle w:val="Hypertextovodkaz"/>
            <w:rFonts w:ascii="Arial" w:hAnsi="Arial" w:cs="Arial"/>
            <w:color w:val="auto"/>
            <w:u w:val="none"/>
          </w:rPr>
          <w:t>28. září 2023</w:t>
        </w:r>
      </w:hyperlink>
      <w:r w:rsidRPr="0025638E">
        <w:rPr>
          <w:rFonts w:ascii="Arial" w:hAnsi="Arial" w:cs="Arial"/>
        </w:rPr>
        <w:t> pak Komise vydala odůvodněné stanovisko. Po analýze odpovědí Česka dospěla Komise k závěru, že jeho právní předpisy oznámené Komisi dosud nesplňují požadavky směrnice. Komise trvá zejména na tom, že jedno z ustanovení směrnice týkající se možných odchylek od práva na přístup k obhájci není správně provedeno ve vnitrostátním právu.</w:t>
      </w:r>
      <w:r>
        <w:rPr>
          <w:rFonts w:ascii="Arial" w:hAnsi="Arial" w:cs="Arial"/>
        </w:rPr>
        <w:t xml:space="preserve"> </w:t>
      </w:r>
      <w:r w:rsidRPr="0025638E">
        <w:rPr>
          <w:rFonts w:ascii="Arial" w:hAnsi="Arial" w:cs="Arial"/>
        </w:rPr>
        <w:t xml:space="preserve">Evropská komise se proto rozhodla, že věc </w:t>
      </w:r>
      <w:proofErr w:type="gramStart"/>
      <w:r w:rsidRPr="0025638E">
        <w:rPr>
          <w:rFonts w:ascii="Arial" w:hAnsi="Arial" w:cs="Arial"/>
        </w:rPr>
        <w:t>předloží</w:t>
      </w:r>
      <w:proofErr w:type="gramEnd"/>
      <w:r w:rsidRPr="0025638E">
        <w:rPr>
          <w:rFonts w:ascii="Arial" w:hAnsi="Arial" w:cs="Arial"/>
        </w:rPr>
        <w:t xml:space="preserve"> Soudnímu dvoru EU.</w:t>
      </w:r>
    </w:p>
    <w:p w14:paraId="1185892A" w14:textId="4AEBD5A4" w:rsidR="0025638E" w:rsidRDefault="0025638E" w:rsidP="0025638E">
      <w:pPr>
        <w:pStyle w:val="Normlnweb"/>
        <w:shd w:val="clear" w:color="auto" w:fill="FFFFFF"/>
        <w:spacing w:before="0" w:after="300"/>
        <w:jc w:val="both"/>
        <w:rPr>
          <w:rFonts w:ascii="Arial" w:hAnsi="Arial" w:cs="Arial"/>
        </w:rPr>
      </w:pPr>
      <w:r>
        <w:rPr>
          <w:rFonts w:ascii="Arial" w:hAnsi="Arial" w:cs="Arial"/>
        </w:rPr>
        <w:t xml:space="preserve">Probíhající řízení o porušení povinnosti České republiky jsou k dispozici zde: </w:t>
      </w:r>
      <w:hyperlink r:id="rId16" w:history="1">
        <w:r w:rsidRPr="00730AE7">
          <w:rPr>
            <w:rStyle w:val="Hypertextovodkaz"/>
            <w:rFonts w:ascii="Arial" w:hAnsi="Arial" w:cs="Arial"/>
          </w:rPr>
          <w:t>https://ec.europa.eu/atwork/applying-eu-law/infringements-proceedings/infringement_decisions/?lang_code=cs&amp;langCode=EN&amp;version=v1&amp;typeOfSearch=byDecision&amp;memberState=CZ&amp;page=1&amp;size=10&amp;order=desc&amp;sortColumns=decisionDate</w:t>
        </w:r>
      </w:hyperlink>
    </w:p>
    <w:p w14:paraId="1014A9A9" w14:textId="77777777" w:rsidR="009769AA" w:rsidRPr="0025638E" w:rsidRDefault="009769AA" w:rsidP="0025638E">
      <w:pPr>
        <w:pStyle w:val="Normlnweb"/>
        <w:shd w:val="clear" w:color="auto" w:fill="FFFFFF"/>
        <w:spacing w:before="0" w:after="300"/>
        <w:jc w:val="both"/>
        <w:rPr>
          <w:rFonts w:ascii="Arial" w:hAnsi="Arial" w:cs="Arial"/>
        </w:rPr>
      </w:pPr>
    </w:p>
    <w:p w14:paraId="315E4C31" w14:textId="77777777" w:rsidR="00A81BCB" w:rsidRPr="00A81BCB" w:rsidRDefault="002F5309" w:rsidP="00A81BCB">
      <w:pPr>
        <w:pStyle w:val="Normlnweb"/>
        <w:shd w:val="clear" w:color="auto" w:fill="FFFFFF"/>
        <w:spacing w:before="0" w:after="300"/>
        <w:jc w:val="both"/>
        <w:rPr>
          <w:rFonts w:ascii="Arial" w:hAnsi="Arial" w:cs="Arial"/>
          <w:b/>
          <w:bCs/>
          <w:color w:val="4472C4" w:themeColor="accent1"/>
          <w:sz w:val="32"/>
          <w:szCs w:val="32"/>
        </w:rPr>
      </w:pPr>
      <w:r>
        <w:rPr>
          <w:rFonts w:cs="Calibri"/>
          <w:noProof/>
        </w:rPr>
        <w:lastRenderedPageBreak/>
        <w:drawing>
          <wp:inline distT="0" distB="0" distL="0" distR="0" wp14:anchorId="11BE5DAE" wp14:editId="4F1C9F45">
            <wp:extent cx="372110" cy="372110"/>
            <wp:effectExtent l="0" t="0" r="8890" b="8890"/>
            <wp:docPr id="560134394" name="Obrázek 56013439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A81BCB" w:rsidRPr="00A81BCB">
        <w:rPr>
          <w:rFonts w:ascii="Arial" w:hAnsi="Arial" w:cs="Arial"/>
          <w:b/>
          <w:bCs/>
          <w:color w:val="4472C4" w:themeColor="accent1"/>
          <w:sz w:val="32"/>
          <w:szCs w:val="32"/>
        </w:rPr>
        <w:t>Prosazování práva EU v roce 2023</w:t>
      </w:r>
    </w:p>
    <w:p w14:paraId="67A18817" w14:textId="0A048AC4" w:rsidR="00A81BCB" w:rsidRPr="00A81BCB" w:rsidRDefault="00A81BCB" w:rsidP="00A81BCB">
      <w:pPr>
        <w:pStyle w:val="Normlnweb"/>
        <w:jc w:val="both"/>
        <w:rPr>
          <w:rFonts w:ascii="Arial" w:hAnsi="Arial" w:cs="Arial"/>
        </w:rPr>
      </w:pPr>
      <w:r w:rsidRPr="00A81BCB">
        <w:rPr>
          <w:rFonts w:ascii="Arial" w:hAnsi="Arial" w:cs="Arial"/>
        </w:rPr>
        <w:t>Dne</w:t>
      </w:r>
      <w:r>
        <w:rPr>
          <w:rFonts w:ascii="Arial" w:hAnsi="Arial" w:cs="Arial"/>
        </w:rPr>
        <w:t xml:space="preserve"> 25. července</w:t>
      </w:r>
      <w:r w:rsidRPr="00A81BCB">
        <w:rPr>
          <w:rFonts w:ascii="Arial" w:hAnsi="Arial" w:cs="Arial"/>
        </w:rPr>
        <w:t xml:space="preserve"> přijala výroční zprávu o kontrole uplatňování práva EU. Ze zprávy vyplývá, že v roce 2023 Komise</w:t>
      </w:r>
      <w:r>
        <w:rPr>
          <w:rFonts w:ascii="Arial" w:hAnsi="Arial" w:cs="Arial"/>
        </w:rPr>
        <w:t xml:space="preserve"> </w:t>
      </w:r>
      <w:r w:rsidRPr="00A81BCB">
        <w:rPr>
          <w:rFonts w:ascii="Arial" w:hAnsi="Arial" w:cs="Arial"/>
        </w:rPr>
        <w:t xml:space="preserve">zahájila 529 nových řízení o nesplnění povinnosti a uzavřela více než 1 000 případů, neboť členské státy dosáhly souladu s právem EU. 95 % uzavřených případů bylo vyřešeno v rané fázi řízení. Komise </w:t>
      </w:r>
      <w:r>
        <w:rPr>
          <w:rFonts w:ascii="Arial" w:hAnsi="Arial" w:cs="Arial"/>
        </w:rPr>
        <w:t xml:space="preserve">se </w:t>
      </w:r>
      <w:r w:rsidRPr="00A81BCB">
        <w:rPr>
          <w:rFonts w:ascii="Arial" w:hAnsi="Arial" w:cs="Arial"/>
        </w:rPr>
        <w:t>rozhodla postoupit Soudnímu dvoru celkem 82 případů nesplnění povinnosti a požádala Soudní dvůr, aby několika členským státům uložil finanční sankce ve 45</w:t>
      </w:r>
      <w:r>
        <w:rPr>
          <w:rFonts w:ascii="Arial" w:hAnsi="Arial" w:cs="Arial"/>
        </w:rPr>
        <w:t xml:space="preserve"> </w:t>
      </w:r>
      <w:r w:rsidRPr="00A81BCB">
        <w:rPr>
          <w:rFonts w:ascii="Arial" w:hAnsi="Arial" w:cs="Arial"/>
        </w:rPr>
        <w:t>případů. V roce 2023 poskytla Komise členským státům, podnikům, zúčastněným stranám a veřejnosti praktické pokyny ohledně toho, jak porozumět konkrétním aspektům práva EU a jak je uplatňovat. Podporovala zajištění souladu s právem EU na stovkách seminářů o provedení ve vnitrostátním právu či setkání expertních skupin a výborů uspořádaných s členskými státy. Prostřednictvím </w:t>
      </w:r>
      <w:hyperlink r:id="rId17" w:history="1">
        <w:r w:rsidRPr="00A81BCB">
          <w:rPr>
            <w:rStyle w:val="Hypertextovodkaz"/>
            <w:rFonts w:ascii="Arial" w:hAnsi="Arial" w:cs="Arial"/>
            <w:color w:val="auto"/>
            <w:u w:val="none"/>
          </w:rPr>
          <w:t>Nástroje pro technickou podporu</w:t>
        </w:r>
      </w:hyperlink>
      <w:r w:rsidRPr="00A81BCB">
        <w:rPr>
          <w:rFonts w:ascii="Arial" w:hAnsi="Arial" w:cs="Arial"/>
        </w:rPr>
        <w:t> Komise podpořila budování administrativních kapacit v členských státech, a přispěla tak k zajištění správného provádění právních předpisů a politik EU.</w:t>
      </w:r>
      <w:r w:rsidR="0003196C">
        <w:rPr>
          <w:rFonts w:ascii="Arial" w:hAnsi="Arial" w:cs="Arial"/>
        </w:rPr>
        <w:t xml:space="preserve"> Zpráva popisuje i oblasti, v nichž Komise přijala donucovací opatření, dosáhla pokroku, či pomohla občanům EU a podnikům s jejich problémy. </w:t>
      </w:r>
    </w:p>
    <w:p w14:paraId="18DF8D7E" w14:textId="5343EA7F" w:rsidR="00267459" w:rsidRPr="00267459" w:rsidRDefault="002F5309" w:rsidP="00106EC3">
      <w:pPr>
        <w:pStyle w:val="Normlnweb"/>
        <w:jc w:val="both"/>
        <w:rPr>
          <w:rFonts w:ascii="Arial" w:eastAsia="Calibri" w:hAnsi="Arial" w:cs="Arial"/>
          <w:lang w:eastAsia="en-US"/>
        </w:rPr>
      </w:pPr>
      <w:r>
        <w:rPr>
          <w:rFonts w:ascii="Arial" w:eastAsia="Calibri" w:hAnsi="Arial" w:cs="Arial"/>
          <w:lang w:eastAsia="en-US"/>
        </w:rPr>
        <w:t xml:space="preserve">Podrobnější informace </w:t>
      </w:r>
      <w:r w:rsidR="00106EC3">
        <w:rPr>
          <w:rFonts w:ascii="Arial" w:eastAsia="Calibri" w:hAnsi="Arial" w:cs="Arial"/>
          <w:lang w:eastAsia="en-US"/>
        </w:rPr>
        <w:t>jsou k dispozici v angličtině</w:t>
      </w:r>
      <w:r w:rsidR="00297554">
        <w:rPr>
          <w:rFonts w:ascii="Arial" w:eastAsia="Calibri" w:hAnsi="Arial" w:cs="Arial"/>
          <w:lang w:eastAsia="en-US"/>
        </w:rPr>
        <w:t xml:space="preserve"> </w:t>
      </w:r>
      <w:r>
        <w:rPr>
          <w:rFonts w:ascii="Arial" w:eastAsia="Calibri" w:hAnsi="Arial" w:cs="Arial"/>
          <w:lang w:eastAsia="en-US"/>
        </w:rPr>
        <w:t>zde:</w:t>
      </w:r>
      <w:r w:rsidR="00297554">
        <w:rPr>
          <w:rFonts w:ascii="Arial" w:eastAsia="Calibri" w:hAnsi="Arial" w:cs="Arial"/>
          <w:lang w:eastAsia="en-US"/>
        </w:rPr>
        <w:t xml:space="preserve"> </w:t>
      </w:r>
      <w:hyperlink r:id="rId18" w:history="1">
        <w:r w:rsidR="00267459" w:rsidRPr="00730AE7">
          <w:rPr>
            <w:rStyle w:val="Hypertextovodkaz"/>
            <w:rFonts w:ascii="Arial" w:eastAsia="Calibri" w:hAnsi="Arial" w:cs="Arial"/>
            <w:lang w:eastAsia="en-US"/>
          </w:rPr>
          <w:t>https://commission.europa.eu/publications/2023-annual-report-monitoring-application-eu-law_en?prefLang=cs</w:t>
        </w:r>
      </w:hyperlink>
    </w:p>
    <w:p w14:paraId="469ADB45" w14:textId="77777777" w:rsidR="00CE329C" w:rsidRPr="00CE329C" w:rsidRDefault="00CE329C" w:rsidP="002F5309">
      <w:pPr>
        <w:pStyle w:val="Normlnweb"/>
        <w:jc w:val="both"/>
        <w:rPr>
          <w:rFonts w:ascii="Arial" w:eastAsia="Calibri" w:hAnsi="Arial" w:cs="Arial"/>
          <w:lang w:eastAsia="en-US"/>
        </w:rPr>
      </w:pPr>
    </w:p>
    <w:p w14:paraId="32BE4DD6" w14:textId="0C8914F8" w:rsidR="002F5309" w:rsidRPr="009769AA" w:rsidRDefault="002F5309" w:rsidP="009769AA">
      <w:pPr>
        <w:shd w:val="clear" w:color="auto" w:fill="FFFFFF"/>
        <w:jc w:val="both"/>
        <w:rPr>
          <w:rFonts w:ascii="Arial" w:hAnsi="Arial" w:cs="Arial"/>
          <w:b/>
          <w:bCs/>
          <w:color w:val="4472C4" w:themeColor="accent1"/>
          <w:sz w:val="32"/>
          <w:szCs w:val="32"/>
        </w:rPr>
      </w:pPr>
      <w:r>
        <w:rPr>
          <w:rFonts w:cs="Calibri"/>
          <w:noProof/>
          <w:sz w:val="24"/>
          <w:szCs w:val="24"/>
        </w:rPr>
        <w:drawing>
          <wp:inline distT="0" distB="0" distL="0" distR="0" wp14:anchorId="181709B6" wp14:editId="46DC5752">
            <wp:extent cx="372110" cy="372110"/>
            <wp:effectExtent l="0" t="0" r="8890" b="8890"/>
            <wp:docPr id="848120111" name="Obrázek 8481201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9769AA" w:rsidRPr="009769AA">
        <w:rPr>
          <w:rFonts w:ascii="Arial" w:hAnsi="Arial" w:cs="Arial"/>
          <w:b/>
          <w:bCs/>
          <w:color w:val="4472C4" w:themeColor="accent1"/>
          <w:sz w:val="32"/>
          <w:szCs w:val="32"/>
        </w:rPr>
        <w:t>Zpráva o právním státu 2024</w:t>
      </w:r>
    </w:p>
    <w:p w14:paraId="5183E377" w14:textId="10050DF2" w:rsidR="009769AA" w:rsidRPr="009769AA" w:rsidRDefault="009769AA" w:rsidP="009769AA">
      <w:pPr>
        <w:pStyle w:val="Normlnweb"/>
        <w:jc w:val="both"/>
        <w:rPr>
          <w:rFonts w:ascii="Arial" w:eastAsia="Calibri" w:hAnsi="Arial" w:cs="Arial"/>
          <w:lang w:eastAsia="en-US"/>
        </w:rPr>
      </w:pPr>
      <w:r w:rsidRPr="009769AA">
        <w:rPr>
          <w:rFonts w:ascii="Arial" w:eastAsia="Calibri" w:hAnsi="Arial" w:cs="Arial"/>
          <w:lang w:eastAsia="en-US"/>
        </w:rPr>
        <w:t>Evropská komise dne</w:t>
      </w:r>
      <w:r>
        <w:rPr>
          <w:rFonts w:ascii="Arial" w:eastAsia="Calibri" w:hAnsi="Arial" w:cs="Arial"/>
          <w:lang w:eastAsia="en-US"/>
        </w:rPr>
        <w:t xml:space="preserve"> 24. července</w:t>
      </w:r>
      <w:r w:rsidRPr="009769AA">
        <w:rPr>
          <w:rFonts w:ascii="Arial" w:eastAsia="Calibri" w:hAnsi="Arial" w:cs="Arial"/>
          <w:lang w:eastAsia="en-US"/>
        </w:rPr>
        <w:t xml:space="preserve"> zveřejnila svou pátou výroční zprávu o právním státu, v níž systematicky a objektivně zkoumá vývoj právního státu ve všech členských </w:t>
      </w:r>
      <w:r w:rsidR="009D307C">
        <w:rPr>
          <w:rFonts w:ascii="Arial" w:eastAsia="Calibri" w:hAnsi="Arial" w:cs="Arial"/>
          <w:lang w:eastAsia="en-US"/>
        </w:rPr>
        <w:t>státech a do níž ČAK každoročně přispívá</w:t>
      </w:r>
      <w:r w:rsidRPr="009769AA">
        <w:rPr>
          <w:rFonts w:ascii="Arial" w:eastAsia="Calibri" w:hAnsi="Arial" w:cs="Arial"/>
          <w:lang w:eastAsia="en-US"/>
        </w:rPr>
        <w:t>. Od svého prvního zveřejnění v roce 2020 se tato zpráva stala skutečnou hnací silou pozitivních reforem: dvě třetiny (68 %) doporučení vydaných v roce 2023 byly plně nebo částečně zohledněny. V některých členských státech však přetrvávají systematické problémy a situace se dále zhoršila.</w:t>
      </w:r>
      <w:r>
        <w:rPr>
          <w:rFonts w:ascii="Arial" w:eastAsia="Calibri" w:hAnsi="Arial" w:cs="Arial"/>
          <w:lang w:eastAsia="en-US"/>
        </w:rPr>
        <w:t xml:space="preserve"> </w:t>
      </w:r>
      <w:r w:rsidRPr="009769AA">
        <w:rPr>
          <w:rFonts w:ascii="Arial" w:eastAsia="Calibri" w:hAnsi="Arial" w:cs="Arial"/>
          <w:lang w:eastAsia="en-US"/>
        </w:rPr>
        <w:t xml:space="preserve">Součástí letošní zprávy je </w:t>
      </w:r>
      <w:r>
        <w:rPr>
          <w:rFonts w:ascii="Arial" w:eastAsia="Calibri" w:hAnsi="Arial" w:cs="Arial"/>
          <w:lang w:eastAsia="en-US"/>
        </w:rPr>
        <w:t xml:space="preserve">politické </w:t>
      </w:r>
      <w:r w:rsidRPr="009769AA">
        <w:rPr>
          <w:rFonts w:ascii="Arial" w:eastAsia="Calibri" w:hAnsi="Arial" w:cs="Arial"/>
          <w:lang w:eastAsia="en-US"/>
        </w:rPr>
        <w:t>sdělení, které zkoumá situaci v EU jako celku, a 27 kapitol o jednotlivých zemích, jež se zabývají významným vývojem v každém členském státě. Zpráva rovněž obsahuje posouzení loňských doporučení a na tomto základě dává všem členským státům další konkrétní doporučení.</w:t>
      </w:r>
      <w:r>
        <w:rPr>
          <w:rFonts w:ascii="Arial" w:eastAsia="Calibri" w:hAnsi="Arial" w:cs="Arial"/>
          <w:lang w:eastAsia="en-US"/>
        </w:rPr>
        <w:t xml:space="preserve"> </w:t>
      </w:r>
      <w:r w:rsidRPr="009769AA">
        <w:rPr>
          <w:rFonts w:ascii="Arial" w:eastAsia="Calibri" w:hAnsi="Arial" w:cs="Arial"/>
          <w:lang w:eastAsia="en-US"/>
        </w:rPr>
        <w:t>Zpráva zahrnuje čtyři pilíře: vnitrostátní systémy soudnictví, protikorupční rámce, svoboda a pluralita médií a další institucionální systémy brzd a protivah.</w:t>
      </w:r>
    </w:p>
    <w:p w14:paraId="3E75FC2B" w14:textId="77777777" w:rsidR="009769AA" w:rsidRPr="009769AA" w:rsidRDefault="009769AA" w:rsidP="009769AA">
      <w:pPr>
        <w:pStyle w:val="Normlnweb"/>
        <w:jc w:val="both"/>
        <w:rPr>
          <w:rFonts w:ascii="Arial" w:eastAsia="Calibri" w:hAnsi="Arial" w:cs="Arial"/>
          <w:lang w:eastAsia="en-US"/>
        </w:rPr>
      </w:pPr>
      <w:r w:rsidRPr="009769AA">
        <w:rPr>
          <w:rFonts w:ascii="Arial" w:eastAsia="Calibri" w:hAnsi="Arial" w:cs="Arial"/>
          <w:lang w:eastAsia="en-US"/>
        </w:rPr>
        <w:t xml:space="preserve">Letošní zpráva poprvé obsahuje čtyři kapitoly o vývoji v Albánii, Černé Hoře, Severní Makedonii a Srbsku. Zahrnutí těchto zemí, které nejvíce pokročily v procesu rozšíření, do zprávy o právním státu </w:t>
      </w:r>
      <w:proofErr w:type="gramStart"/>
      <w:r w:rsidRPr="009769AA">
        <w:rPr>
          <w:rFonts w:ascii="Arial" w:eastAsia="Calibri" w:hAnsi="Arial" w:cs="Arial"/>
          <w:lang w:eastAsia="en-US"/>
        </w:rPr>
        <w:t>podpoří</w:t>
      </w:r>
      <w:proofErr w:type="gramEnd"/>
      <w:r w:rsidRPr="009769AA">
        <w:rPr>
          <w:rFonts w:ascii="Arial" w:eastAsia="Calibri" w:hAnsi="Arial" w:cs="Arial"/>
          <w:lang w:eastAsia="en-US"/>
        </w:rPr>
        <w:t xml:space="preserve"> jejich reformní úsilí a pomůže jejich orgánům dosáhnout v procesu přistoupení dalšího pokroku a připravit se na pokračování práce v oblasti právního státu jakožto budoucí členské země. </w:t>
      </w:r>
    </w:p>
    <w:p w14:paraId="101E57DA" w14:textId="4C239B89" w:rsidR="009769AA" w:rsidRPr="009769AA" w:rsidRDefault="009769AA" w:rsidP="009769AA">
      <w:pPr>
        <w:pStyle w:val="Normlnweb"/>
        <w:jc w:val="both"/>
        <w:rPr>
          <w:rFonts w:ascii="Arial" w:eastAsia="Calibri" w:hAnsi="Arial" w:cs="Arial"/>
          <w:lang w:eastAsia="en-US"/>
        </w:rPr>
      </w:pPr>
      <w:r>
        <w:rPr>
          <w:rFonts w:ascii="Arial" w:eastAsia="Calibri" w:hAnsi="Arial" w:cs="Arial"/>
          <w:lang w:eastAsia="en-US"/>
        </w:rPr>
        <w:t>Dle zprávy byly r</w:t>
      </w:r>
      <w:r w:rsidRPr="009769AA">
        <w:rPr>
          <w:rFonts w:ascii="Arial" w:eastAsia="Calibri" w:hAnsi="Arial" w:cs="Arial"/>
          <w:lang w:eastAsia="en-US"/>
        </w:rPr>
        <w:t xml:space="preserve">eformy soudnictví i v uplynulém roce jednou z priorit politické agendy – mnohé členské státy doporučení z roku 2023 zohlednily a realizovaly reformy dohodnuté v rámci Nástroje pro oživení a odolnost. Několik členských států zahájilo důležité reformy na posílení nezávislosti soudnictví nebo v nich dále pokročilo. Tyto státy vyvinuly legislativní úsilí s cílem posílit nezávislost a efektivnost rad pro justici, zlepšit postupy jmenování soudců, včetně </w:t>
      </w:r>
      <w:r w:rsidR="00C70A14">
        <w:rPr>
          <w:rFonts w:ascii="Arial" w:eastAsia="Calibri" w:hAnsi="Arial" w:cs="Arial"/>
          <w:lang w:eastAsia="en-US"/>
        </w:rPr>
        <w:t xml:space="preserve">jmenování </w:t>
      </w:r>
      <w:r w:rsidRPr="009769AA">
        <w:rPr>
          <w:rFonts w:ascii="Arial" w:eastAsia="Calibri" w:hAnsi="Arial" w:cs="Arial"/>
          <w:lang w:eastAsia="en-US"/>
        </w:rPr>
        <w:t xml:space="preserve">na nejvyšších soudech, nebo </w:t>
      </w:r>
      <w:r w:rsidRPr="009769AA">
        <w:rPr>
          <w:rFonts w:ascii="Arial" w:eastAsia="Calibri" w:hAnsi="Arial" w:cs="Arial"/>
          <w:lang w:eastAsia="en-US"/>
        </w:rPr>
        <w:lastRenderedPageBreak/>
        <w:t>posílit autonomii státních zastupitelství. Zároveň však přetrvávají určité systémové obavy ohledně nezávislosti soudnictví a byly zaznamenány konkrétní případy zhoršení situace. Členské státy rovněž zavedly opatření zaměřená na zlepšení efektivity a kvality soudnictví a usnadnění přístupu ke spravedlnosti. V několika členských státech je však problémem odměňování soudců a státních zástupců, což vede k obtížím při náboru kvalifikovaných soudních zaměstnanců.</w:t>
      </w:r>
      <w:r>
        <w:rPr>
          <w:rFonts w:ascii="Arial" w:eastAsia="Calibri" w:hAnsi="Arial" w:cs="Arial"/>
          <w:lang w:eastAsia="en-US"/>
        </w:rPr>
        <w:t xml:space="preserve"> </w:t>
      </w:r>
      <w:r w:rsidRPr="009769AA">
        <w:rPr>
          <w:rFonts w:ascii="Arial" w:eastAsia="Calibri" w:hAnsi="Arial" w:cs="Arial"/>
          <w:lang w:eastAsia="en-US"/>
        </w:rPr>
        <w:t>Letošní zpráva proto členským státům doporučuje, aby se zabývaly záležitostmi, jako je potřeba záruk v postupech jmenování soudců soudů nižších stupňů i vyšších pozic, autonomie státního zastupitelství nebo potřeba poskytnout soudnictví odpovídající zdroje, a to i pokud jde o platy.</w:t>
      </w:r>
      <w:r>
        <w:rPr>
          <w:rFonts w:ascii="Arial" w:eastAsia="Calibri" w:hAnsi="Arial" w:cs="Arial"/>
          <w:lang w:eastAsia="en-US"/>
        </w:rPr>
        <w:t xml:space="preserve"> Zmiňuje rovněž nezbytnou roli nezávislé advokacie, samosprávných komor a ochrany povinnosti mlčenlivosti. </w:t>
      </w:r>
    </w:p>
    <w:p w14:paraId="12191587" w14:textId="461AB008" w:rsidR="009769AA" w:rsidRPr="009769AA" w:rsidRDefault="009769AA" w:rsidP="009769AA">
      <w:pPr>
        <w:pStyle w:val="Normlnweb"/>
        <w:jc w:val="both"/>
        <w:rPr>
          <w:rFonts w:ascii="Arial" w:eastAsia="Calibri" w:hAnsi="Arial" w:cs="Arial"/>
          <w:lang w:eastAsia="en-US"/>
        </w:rPr>
      </w:pPr>
      <w:r w:rsidRPr="009769AA">
        <w:rPr>
          <w:rFonts w:ascii="Arial" w:eastAsia="Calibri" w:hAnsi="Arial" w:cs="Arial"/>
          <w:lang w:eastAsia="en-US"/>
        </w:rPr>
        <w:t>Od loňského roku členské státy za účelem lepšího boje proti korupci zlepšily své institucionální prostředí, mimo jiné navýšily zdroje na kapacitu donucovacích orgánů, orgánů činných v trestním řízení a soudnictví. Zároveň je třeba přijmout další opatření k posílení preventivních rámců, například rámců upravujících pravidla pro lobbing a střet zájmů a pravidla pro majetková přiznání, a k zajištění účinného vyšetřování a stíhání případů korupce. To vše se odráží v letošních doporučeních.</w:t>
      </w:r>
      <w:r>
        <w:rPr>
          <w:rFonts w:ascii="Arial" w:eastAsia="Calibri" w:hAnsi="Arial" w:cs="Arial"/>
          <w:lang w:eastAsia="en-US"/>
        </w:rPr>
        <w:t xml:space="preserve"> </w:t>
      </w:r>
      <w:r w:rsidRPr="009769AA">
        <w:rPr>
          <w:rFonts w:ascii="Arial" w:eastAsia="Calibri" w:hAnsi="Arial" w:cs="Arial"/>
          <w:lang w:eastAsia="en-US"/>
        </w:rPr>
        <w:t>V zemích procesu rozšíření byla zkvalitněna právní a institucionální opatření, ale je ještě potřeba dále posílit vyšetřování a stíhání případů korupce.</w:t>
      </w:r>
    </w:p>
    <w:p w14:paraId="4CA36267" w14:textId="401732BE" w:rsidR="009769AA" w:rsidRPr="009769AA" w:rsidRDefault="009769AA" w:rsidP="009769AA">
      <w:pPr>
        <w:pStyle w:val="Normlnweb"/>
        <w:jc w:val="both"/>
        <w:rPr>
          <w:rFonts w:ascii="Arial" w:eastAsia="Calibri" w:hAnsi="Arial" w:cs="Arial"/>
          <w:lang w:eastAsia="en-US"/>
        </w:rPr>
      </w:pPr>
      <w:r w:rsidRPr="009769AA">
        <w:rPr>
          <w:rFonts w:ascii="Arial" w:eastAsia="Calibri" w:hAnsi="Arial" w:cs="Arial"/>
          <w:lang w:eastAsia="en-US"/>
        </w:rPr>
        <w:t>Od poslední zprávy o právním státu učinilo několik členských států konkrétní kroky ke zlepšení bezpečnosti a pracovního prostředí novinářů, a to i s ohledem na iniciativy Komise, jako je již platný evropský akt o svobodě médií, který bude plně použitelný od srpna 2025, směrnice a doporučení o ochraně před strategickými žalobami proti účasti veřejnosti a doporučení o bezpečnosti novinářů.</w:t>
      </w:r>
      <w:r>
        <w:rPr>
          <w:rFonts w:ascii="Arial" w:eastAsia="Calibri" w:hAnsi="Arial" w:cs="Arial"/>
          <w:lang w:eastAsia="en-US"/>
        </w:rPr>
        <w:t xml:space="preserve"> </w:t>
      </w:r>
      <w:r w:rsidRPr="009769AA">
        <w:rPr>
          <w:rFonts w:ascii="Arial" w:eastAsia="Calibri" w:hAnsi="Arial" w:cs="Arial"/>
          <w:lang w:eastAsia="en-US"/>
        </w:rPr>
        <w:t>Kromě toho byly rozšířeny úkoly a pravomoci několika vnitrostátních orgánů pro regulaci médií, mimo jiné v důsledku vstupu aktu EU o digitálních službách v platnost a nově zřízených nebo rozšířených online majetkových registrů.</w:t>
      </w:r>
      <w:r>
        <w:rPr>
          <w:rFonts w:ascii="Arial" w:eastAsia="Calibri" w:hAnsi="Arial" w:cs="Arial"/>
          <w:lang w:eastAsia="en-US"/>
        </w:rPr>
        <w:t xml:space="preserve"> </w:t>
      </w:r>
      <w:r w:rsidRPr="009769AA">
        <w:rPr>
          <w:rFonts w:ascii="Arial" w:eastAsia="Calibri" w:hAnsi="Arial" w:cs="Arial"/>
          <w:lang w:eastAsia="en-US"/>
        </w:rPr>
        <w:t>V několika členských státech však přetrvávají obavy ohledně nezávislého řízení nebo finanční stability veřejnoprávních médií, transparentnosti vlastnictví médií, práva na přístup k veřejným dokumentům a transparentního a spravedlivého zadávání reklamy státem. Evropská komise vydala ke všem těmto oblastem znovu několik doporučení, mimo jiné k bezpečnosti novinářů.</w:t>
      </w:r>
    </w:p>
    <w:p w14:paraId="1A527EB8" w14:textId="3B25192E" w:rsidR="009769AA" w:rsidRDefault="009769AA" w:rsidP="009769AA">
      <w:pPr>
        <w:pStyle w:val="Normlnweb"/>
        <w:jc w:val="both"/>
        <w:rPr>
          <w:rFonts w:ascii="Arial" w:eastAsia="Calibri" w:hAnsi="Arial" w:cs="Arial"/>
          <w:lang w:eastAsia="en-US"/>
        </w:rPr>
      </w:pPr>
      <w:r w:rsidRPr="009769AA">
        <w:rPr>
          <w:rFonts w:ascii="Arial" w:eastAsia="Calibri" w:hAnsi="Arial" w:cs="Arial"/>
          <w:lang w:eastAsia="en-US"/>
        </w:rPr>
        <w:t>Některé členské státy posílily status a zdroje vnitrostátních institucí pro lidská práva, veřejných ochránců práv a dalších nezávislých orgánů. V několika členských státech rovněž pokračovaly iniciativy na posílení rámce pro občanskou společnost a jejího financování.</w:t>
      </w:r>
      <w:r>
        <w:rPr>
          <w:rFonts w:ascii="Arial" w:eastAsia="Calibri" w:hAnsi="Arial" w:cs="Arial"/>
          <w:lang w:eastAsia="en-US"/>
        </w:rPr>
        <w:t xml:space="preserve"> </w:t>
      </w:r>
      <w:r w:rsidRPr="009769AA">
        <w:rPr>
          <w:rFonts w:ascii="Arial" w:eastAsia="Calibri" w:hAnsi="Arial" w:cs="Arial"/>
          <w:lang w:eastAsia="en-US"/>
        </w:rPr>
        <w:t>V několika členských státech však přetrvávají problémy, jako je nadměrné využívání zrychlených řízení nebo celková kvalita tvorby právních předpisů, a také v konzultacích se zainteresovanými stranami. Občanská společnost a obránci lidských práv se v některých členských státech stále častěji potýkají s problémy, právními omezeními a útoky, včetně systémových omezení svých činností. Jedná se o znepokojivý trend, který byl zaznamenán již v předchozí zprávě.</w:t>
      </w:r>
      <w:r>
        <w:rPr>
          <w:rFonts w:ascii="Arial" w:eastAsia="Calibri" w:hAnsi="Arial" w:cs="Arial"/>
          <w:lang w:eastAsia="en-US"/>
        </w:rPr>
        <w:t xml:space="preserve"> </w:t>
      </w:r>
      <w:r w:rsidRPr="009769AA">
        <w:rPr>
          <w:rFonts w:ascii="Arial" w:eastAsia="Calibri" w:hAnsi="Arial" w:cs="Arial"/>
          <w:lang w:eastAsia="en-US"/>
        </w:rPr>
        <w:t>Za účelem řešení zjištěných problémů vydala Komise doporučení týkající se fungování legislativního procesu, zřízení a fungování nezávislých orgánů a prostředí příznivého pro občanskou společnost.</w:t>
      </w:r>
    </w:p>
    <w:p w14:paraId="51D68BEF" w14:textId="2B1E9162" w:rsidR="009D307C" w:rsidRPr="009769AA" w:rsidRDefault="009D307C" w:rsidP="009769AA">
      <w:pPr>
        <w:pStyle w:val="Normlnweb"/>
        <w:jc w:val="both"/>
        <w:rPr>
          <w:rFonts w:ascii="Arial" w:eastAsia="Calibri" w:hAnsi="Arial" w:cs="Arial"/>
          <w:lang w:eastAsia="en-US"/>
        </w:rPr>
      </w:pPr>
      <w:r>
        <w:rPr>
          <w:rFonts w:ascii="Arial" w:eastAsia="Calibri" w:hAnsi="Arial" w:cs="Arial"/>
          <w:lang w:eastAsia="en-US"/>
        </w:rPr>
        <w:t>Evropská komise s monitoringem stavu právního státu v EU počítá i do dalších let, plánuje jej doplnit</w:t>
      </w:r>
      <w:r w:rsidRPr="009D307C">
        <w:rPr>
          <w:rFonts w:ascii="Arial" w:eastAsia="Calibri" w:hAnsi="Arial" w:cs="Arial"/>
          <w:lang w:eastAsia="en-US"/>
        </w:rPr>
        <w:t xml:space="preserve"> </w:t>
      </w:r>
      <w:r>
        <w:rPr>
          <w:rFonts w:ascii="Arial" w:eastAsia="Calibri" w:hAnsi="Arial" w:cs="Arial"/>
          <w:lang w:eastAsia="en-US"/>
        </w:rPr>
        <w:t xml:space="preserve">o </w:t>
      </w:r>
      <w:r w:rsidRPr="009D307C">
        <w:rPr>
          <w:rFonts w:ascii="Arial" w:eastAsia="Calibri" w:hAnsi="Arial" w:cs="Arial"/>
          <w:lang w:eastAsia="en-US"/>
        </w:rPr>
        <w:t xml:space="preserve">rozměr jednotného trhu. </w:t>
      </w:r>
    </w:p>
    <w:p w14:paraId="69D41BC1" w14:textId="77777777" w:rsidR="009769AA" w:rsidRPr="009769AA" w:rsidRDefault="009769AA" w:rsidP="009769AA">
      <w:pPr>
        <w:pStyle w:val="Normlnweb"/>
        <w:jc w:val="both"/>
        <w:rPr>
          <w:rFonts w:ascii="Arial" w:eastAsia="Calibri" w:hAnsi="Arial" w:cs="Arial"/>
          <w:lang w:eastAsia="en-US"/>
        </w:rPr>
      </w:pPr>
    </w:p>
    <w:p w14:paraId="5D0C500B" w14:textId="3C678AE4" w:rsidR="009D307C" w:rsidRPr="009D307C" w:rsidRDefault="009D307C" w:rsidP="009769AA">
      <w:pPr>
        <w:pStyle w:val="Normlnweb"/>
        <w:jc w:val="both"/>
        <w:rPr>
          <w:rFonts w:ascii="Arial" w:eastAsia="Calibri" w:hAnsi="Arial" w:cs="Arial"/>
          <w:lang w:eastAsia="en-US"/>
        </w:rPr>
      </w:pPr>
      <w:r>
        <w:rPr>
          <w:rFonts w:ascii="Arial" w:eastAsia="Calibri" w:hAnsi="Arial" w:cs="Arial"/>
          <w:lang w:eastAsia="en-US"/>
        </w:rPr>
        <w:lastRenderedPageBreak/>
        <w:t xml:space="preserve">Zpráva o právním státu za rok 2024 je k dispozici v češtině zde: </w:t>
      </w:r>
      <w:hyperlink r:id="rId19" w:history="1">
        <w:r w:rsidRPr="00730AE7">
          <w:rPr>
            <w:rStyle w:val="Hypertextovodkaz"/>
            <w:rFonts w:ascii="Arial" w:eastAsia="Calibri" w:hAnsi="Arial" w:cs="Arial"/>
            <w:lang w:eastAsia="en-US"/>
          </w:rPr>
          <w:t>https://commission.europa.eu/strategy-and-policy/policies/justice-and-fundamental-rights/upholding-rule-law/rule-law/annual-rule-law-cycle/2024-rule-law-report_cs</w:t>
        </w:r>
      </w:hyperlink>
    </w:p>
    <w:p w14:paraId="6610BDF3" w14:textId="77777777" w:rsidR="00991664" w:rsidRDefault="00991664" w:rsidP="00F773E4">
      <w:pPr>
        <w:pStyle w:val="Normlnweb"/>
        <w:jc w:val="both"/>
        <w:rPr>
          <w:rFonts w:ascii="Arial" w:eastAsia="Calibri" w:hAnsi="Arial" w:cs="Arial"/>
          <w:lang w:eastAsia="en-US"/>
        </w:rPr>
      </w:pPr>
    </w:p>
    <w:p w14:paraId="2AAAE7B0" w14:textId="27E133CE" w:rsidR="005B2CC7" w:rsidRDefault="005B2CC7" w:rsidP="00F773E4">
      <w:pPr>
        <w:pStyle w:val="Normlnweb"/>
        <w:jc w:val="both"/>
        <w:rPr>
          <w:rFonts w:ascii="Arial" w:eastAsia="Calibri" w:hAnsi="Arial" w:cs="Arial"/>
          <w:b/>
          <w:bCs/>
          <w:color w:val="4472C4" w:themeColor="accent1"/>
          <w:sz w:val="32"/>
          <w:szCs w:val="32"/>
          <w:lang w:eastAsia="en-US"/>
        </w:rPr>
      </w:pPr>
      <w:r>
        <w:rPr>
          <w:rFonts w:cs="Calibri"/>
          <w:noProof/>
        </w:rPr>
        <w:drawing>
          <wp:inline distT="0" distB="0" distL="0" distR="0" wp14:anchorId="50D43561" wp14:editId="78109E14">
            <wp:extent cx="372110" cy="372110"/>
            <wp:effectExtent l="0" t="0" r="8890" b="8890"/>
            <wp:docPr id="755180839" name="Obrázek 75518083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5B2CC7">
        <w:rPr>
          <w:rFonts w:ascii="Arial" w:eastAsia="Calibri" w:hAnsi="Arial" w:cs="Arial"/>
          <w:b/>
          <w:bCs/>
          <w:color w:val="4472C4" w:themeColor="accent1"/>
          <w:sz w:val="32"/>
          <w:szCs w:val="32"/>
          <w:lang w:eastAsia="en-US"/>
        </w:rPr>
        <w:t xml:space="preserve">Evropský parlament </w:t>
      </w:r>
      <w:r w:rsidR="002915C4">
        <w:rPr>
          <w:rFonts w:ascii="Arial" w:eastAsia="Calibri" w:hAnsi="Arial" w:cs="Arial"/>
          <w:b/>
          <w:bCs/>
          <w:color w:val="4472C4" w:themeColor="accent1"/>
          <w:sz w:val="32"/>
          <w:szCs w:val="32"/>
          <w:lang w:eastAsia="en-US"/>
        </w:rPr>
        <w:t xml:space="preserve">zahájil své desáté funkční období a </w:t>
      </w:r>
      <w:r w:rsidRPr="005B2CC7">
        <w:rPr>
          <w:rFonts w:ascii="Arial" w:eastAsia="Calibri" w:hAnsi="Arial" w:cs="Arial"/>
          <w:b/>
          <w:bCs/>
          <w:color w:val="4472C4" w:themeColor="accent1"/>
          <w:sz w:val="32"/>
          <w:szCs w:val="32"/>
          <w:lang w:eastAsia="en-US"/>
        </w:rPr>
        <w:t>rozhodl o složení svých výborů</w:t>
      </w:r>
    </w:p>
    <w:p w14:paraId="2B135EE6" w14:textId="32078A39" w:rsidR="002915C4" w:rsidRDefault="005B2CC7" w:rsidP="002915C4">
      <w:pPr>
        <w:pStyle w:val="Normlnweb"/>
        <w:jc w:val="both"/>
        <w:rPr>
          <w:rFonts w:ascii="Arial" w:hAnsi="Arial" w:cs="Arial"/>
        </w:rPr>
      </w:pPr>
      <w:r>
        <w:rPr>
          <w:rFonts w:ascii="Arial" w:eastAsia="Calibri" w:hAnsi="Arial" w:cs="Arial"/>
          <w:lang w:eastAsia="en-US"/>
        </w:rPr>
        <w:t xml:space="preserve">Evropský parlament </w:t>
      </w:r>
      <w:r w:rsidR="002915C4">
        <w:rPr>
          <w:rFonts w:ascii="Arial" w:eastAsia="Calibri" w:hAnsi="Arial" w:cs="Arial"/>
          <w:lang w:eastAsia="en-US"/>
        </w:rPr>
        <w:t>dne 16. července zahájil své funkční období v novém složení.</w:t>
      </w:r>
      <w:r>
        <w:rPr>
          <w:rFonts w:ascii="Arial" w:eastAsia="Calibri" w:hAnsi="Arial" w:cs="Arial"/>
          <w:lang w:eastAsia="en-US"/>
        </w:rPr>
        <w:t xml:space="preserve"> </w:t>
      </w:r>
      <w:r w:rsidR="002915C4" w:rsidRPr="002915C4">
        <w:rPr>
          <w:rFonts w:ascii="Arial" w:hAnsi="Arial" w:cs="Arial"/>
        </w:rPr>
        <w:t>V desátém volebním období bude mít Evropský parlament 720 křesel, což je o 15 více než na konci předchozího funkčního období. 54 % poslanců je nových (v roce 2019 činil podíl nových poslanců 61 %). 39 % poslankyň jsou ženy (v roce 2019 to bylo 40 %).</w:t>
      </w:r>
      <w:r w:rsidR="002915C4">
        <w:rPr>
          <w:rFonts w:ascii="Arial" w:hAnsi="Arial" w:cs="Arial"/>
        </w:rPr>
        <w:t xml:space="preserve"> </w:t>
      </w:r>
      <w:r w:rsidR="002915C4" w:rsidRPr="002915C4">
        <w:rPr>
          <w:rFonts w:ascii="Arial" w:hAnsi="Arial" w:cs="Arial"/>
        </w:rPr>
        <w:t xml:space="preserve">Nejmladší poslankyní je Lena </w:t>
      </w:r>
      <w:proofErr w:type="spellStart"/>
      <w:r w:rsidR="002915C4" w:rsidRPr="002915C4">
        <w:rPr>
          <w:rFonts w:ascii="Arial" w:hAnsi="Arial" w:cs="Arial"/>
        </w:rPr>
        <w:t>Schillingová</w:t>
      </w:r>
      <w:proofErr w:type="spellEnd"/>
      <w:r w:rsidR="002915C4" w:rsidRPr="002915C4">
        <w:rPr>
          <w:rFonts w:ascii="Arial" w:hAnsi="Arial" w:cs="Arial"/>
        </w:rPr>
        <w:t xml:space="preserve"> (</w:t>
      </w:r>
      <w:proofErr w:type="spellStart"/>
      <w:r w:rsidR="002915C4" w:rsidRPr="002915C4">
        <w:rPr>
          <w:rFonts w:ascii="Arial" w:hAnsi="Arial" w:cs="Arial"/>
        </w:rPr>
        <w:t>Greens</w:t>
      </w:r>
      <w:proofErr w:type="spellEnd"/>
      <w:r w:rsidR="002915C4" w:rsidRPr="002915C4">
        <w:rPr>
          <w:rFonts w:ascii="Arial" w:hAnsi="Arial" w:cs="Arial"/>
        </w:rPr>
        <w:t xml:space="preserve">/EFA) z Rakouska (23 let), nejstarším poslancem je </w:t>
      </w:r>
      <w:proofErr w:type="spellStart"/>
      <w:r w:rsidR="002915C4" w:rsidRPr="002915C4">
        <w:rPr>
          <w:rFonts w:ascii="Arial" w:hAnsi="Arial" w:cs="Arial"/>
        </w:rPr>
        <w:t>Leoluca</w:t>
      </w:r>
      <w:proofErr w:type="spellEnd"/>
      <w:r w:rsidR="002915C4" w:rsidRPr="002915C4">
        <w:rPr>
          <w:rFonts w:ascii="Arial" w:hAnsi="Arial" w:cs="Arial"/>
        </w:rPr>
        <w:t xml:space="preserve"> Orlando (</w:t>
      </w:r>
      <w:proofErr w:type="spellStart"/>
      <w:r w:rsidR="002915C4" w:rsidRPr="002915C4">
        <w:rPr>
          <w:rFonts w:ascii="Arial" w:hAnsi="Arial" w:cs="Arial"/>
        </w:rPr>
        <w:t>Greens</w:t>
      </w:r>
      <w:proofErr w:type="spellEnd"/>
      <w:r w:rsidR="002915C4" w:rsidRPr="002915C4">
        <w:rPr>
          <w:rFonts w:ascii="Arial" w:hAnsi="Arial" w:cs="Arial"/>
        </w:rPr>
        <w:t>/EFA) z Itálie (77 let). Průměrný věk poslanců je 50 let.</w:t>
      </w:r>
      <w:r w:rsidR="002915C4">
        <w:rPr>
          <w:rFonts w:ascii="Arial" w:hAnsi="Arial" w:cs="Arial"/>
        </w:rPr>
        <w:t xml:space="preserve"> </w:t>
      </w:r>
      <w:r w:rsidR="002915C4" w:rsidRPr="002915C4">
        <w:rPr>
          <w:rFonts w:ascii="Arial" w:hAnsi="Arial" w:cs="Arial"/>
        </w:rPr>
        <w:t xml:space="preserve">Na začátku desátého volebního období je ustaveno osm politických skupin, tedy o jednu více než </w:t>
      </w:r>
      <w:r w:rsidR="00940D4D">
        <w:rPr>
          <w:rFonts w:ascii="Arial" w:hAnsi="Arial" w:cs="Arial"/>
        </w:rPr>
        <w:t xml:space="preserve">v </w:t>
      </w:r>
      <w:r w:rsidR="002915C4" w:rsidRPr="002915C4">
        <w:rPr>
          <w:rFonts w:ascii="Arial" w:hAnsi="Arial" w:cs="Arial"/>
        </w:rPr>
        <w:t>předchozím volebním období. 32 poslanců zůstává nezařazených.</w:t>
      </w:r>
    </w:p>
    <w:p w14:paraId="470A2AC2" w14:textId="44DD6E98" w:rsidR="002915C4" w:rsidRPr="002915C4" w:rsidRDefault="002915C4" w:rsidP="005B2CC7">
      <w:pPr>
        <w:pStyle w:val="Normlnweb"/>
        <w:jc w:val="both"/>
        <w:rPr>
          <w:rFonts w:ascii="Arial" w:hAnsi="Arial" w:cs="Arial"/>
        </w:rPr>
      </w:pPr>
      <w:r>
        <w:rPr>
          <w:rFonts w:ascii="Arial" w:hAnsi="Arial" w:cs="Arial"/>
        </w:rPr>
        <w:t xml:space="preserve">Výsledky voleb a další podrobné informace jsou k dispozici zde: </w:t>
      </w:r>
      <w:hyperlink r:id="rId20" w:history="1">
        <w:r w:rsidRPr="00730AE7">
          <w:rPr>
            <w:rStyle w:val="Hypertextovodkaz"/>
            <w:rFonts w:ascii="Arial" w:hAnsi="Arial" w:cs="Arial"/>
          </w:rPr>
          <w:t>https://www.europarl.europa.eu/news/cs/press-room/20240710IPR22804/evropsky-parlament-zahajuje-sve-desate-funkcni-obdobi</w:t>
        </w:r>
      </w:hyperlink>
    </w:p>
    <w:p w14:paraId="563ED389" w14:textId="28BBC891" w:rsidR="005B2CC7" w:rsidRDefault="002915C4" w:rsidP="005B2CC7">
      <w:pPr>
        <w:pStyle w:val="Normlnweb"/>
        <w:jc w:val="both"/>
        <w:rPr>
          <w:rFonts w:ascii="Arial" w:eastAsia="Calibri" w:hAnsi="Arial" w:cs="Arial"/>
          <w:lang w:eastAsia="en-US"/>
        </w:rPr>
      </w:pPr>
      <w:r>
        <w:rPr>
          <w:rFonts w:ascii="Arial" w:eastAsia="Calibri" w:hAnsi="Arial" w:cs="Arial"/>
          <w:lang w:eastAsia="en-US"/>
        </w:rPr>
        <w:t>D</w:t>
      </w:r>
      <w:r w:rsidR="005B2CC7">
        <w:rPr>
          <w:rFonts w:ascii="Arial" w:eastAsia="Calibri" w:hAnsi="Arial" w:cs="Arial"/>
          <w:lang w:eastAsia="en-US"/>
        </w:rPr>
        <w:t xml:space="preserve">ne 19. července </w:t>
      </w:r>
      <w:r>
        <w:rPr>
          <w:rFonts w:ascii="Arial" w:eastAsia="Calibri" w:hAnsi="Arial" w:cs="Arial"/>
          <w:lang w:eastAsia="en-US"/>
        </w:rPr>
        <w:t xml:space="preserve">dále rozhodl </w:t>
      </w:r>
      <w:r w:rsidR="005B2CC7">
        <w:rPr>
          <w:rFonts w:ascii="Arial" w:eastAsia="Calibri" w:hAnsi="Arial" w:cs="Arial"/>
          <w:lang w:eastAsia="en-US"/>
        </w:rPr>
        <w:t>o složení svých výborů.</w:t>
      </w:r>
      <w:r w:rsidR="005B2CC7" w:rsidRPr="005B2CC7">
        <w:rPr>
          <w:rFonts w:ascii="Arial" w:eastAsia="Calibri" w:hAnsi="Arial" w:cs="Arial"/>
          <w:lang w:eastAsia="en-US"/>
        </w:rPr>
        <w:t xml:space="preserve"> Působnost jednotlivých výborů je stanovena v příloze VI jednacího řádu. Výbory se scházejí veřejně (pokud pravidla nestanoví jinak) jednou až dvakrát měsíčně v Bruselu. Jejich práce spočívá v přípravě legislativních návrhů, přijímání pozměňovacích návrhů k nim a hlasování o těchto návrzích a zprávách z vlastního podnětu. Ve výborech probíhají debaty se zástupci Rady Komise a slyšení s externími odborníky. Výbory rovněž organizují pracovní cesty ke zjištění potřebných údajů. Budou hrát klíčovou roli při nadcházejících slyšeních s kandidáty na komisaře.</w:t>
      </w:r>
      <w:r w:rsidR="005B2CC7">
        <w:rPr>
          <w:rFonts w:ascii="Arial" w:eastAsia="Calibri" w:hAnsi="Arial" w:cs="Arial"/>
          <w:lang w:eastAsia="en-US"/>
        </w:rPr>
        <w:t xml:space="preserve"> </w:t>
      </w:r>
      <w:r w:rsidR="005B2CC7" w:rsidRPr="005B2CC7">
        <w:rPr>
          <w:rFonts w:ascii="Arial" w:eastAsia="Calibri" w:hAnsi="Arial" w:cs="Arial"/>
          <w:lang w:eastAsia="en-US"/>
        </w:rPr>
        <w:t>Parlament může zřizovat podvýbory, zvláštní dočasné výbory, které se zabývají konkrétními otázkami, a vyšetřovací výbory pro vyšetřování údajných nesprávných postupů při uplatňování práva EU. Jejich práci koordinuje Konference předsedů výborů.</w:t>
      </w:r>
    </w:p>
    <w:p w14:paraId="1E06B27C" w14:textId="01F9FA8B" w:rsidR="005B2CC7" w:rsidRPr="005B2CC7" w:rsidRDefault="005B2CC7" w:rsidP="005B2CC7">
      <w:pPr>
        <w:pStyle w:val="Normlnweb"/>
        <w:jc w:val="both"/>
        <w:rPr>
          <w:rFonts w:ascii="Arial" w:eastAsia="Calibri" w:hAnsi="Arial" w:cs="Arial"/>
          <w:lang w:eastAsia="en-US"/>
        </w:rPr>
      </w:pPr>
      <w:r>
        <w:rPr>
          <w:rFonts w:ascii="Arial" w:eastAsia="Calibri" w:hAnsi="Arial" w:cs="Arial"/>
          <w:lang w:eastAsia="en-US"/>
        </w:rPr>
        <w:t xml:space="preserve">Rozdělení českých europoslanců do výborů je k dispozici v češtině zde: </w:t>
      </w:r>
      <w:hyperlink r:id="rId21" w:history="1">
        <w:r w:rsidRPr="00730AE7">
          <w:rPr>
            <w:rStyle w:val="Hypertextovodkaz"/>
            <w:rFonts w:ascii="Arial" w:eastAsia="Calibri" w:hAnsi="Arial" w:cs="Arial"/>
            <w:lang w:eastAsia="en-US"/>
          </w:rPr>
          <w:t>https://www.europarl.europa.eu/news/cs/press-room/20240710IPR22806/parlament-rozhodl-o-slozeni-svych-vyboru</w:t>
        </w:r>
      </w:hyperlink>
    </w:p>
    <w:p w14:paraId="5D83A18F" w14:textId="50B21270" w:rsidR="00F773E4" w:rsidRPr="00170D48" w:rsidRDefault="00F773E4" w:rsidP="00F773E4">
      <w:pPr>
        <w:shd w:val="clear" w:color="auto" w:fill="FFFFFF"/>
        <w:spacing w:line="240" w:lineRule="auto"/>
        <w:jc w:val="both"/>
        <w:outlineLvl w:val="0"/>
        <w:rPr>
          <w:rFonts w:ascii="Arial" w:eastAsia="Times New Roman" w:hAnsi="Arial" w:cs="Arial"/>
          <w:b/>
          <w:bCs/>
          <w:color w:val="4472C4" w:themeColor="accent1"/>
          <w:kern w:val="36"/>
          <w:sz w:val="28"/>
          <w:szCs w:val="28"/>
          <w:lang w:eastAsia="cs-CZ"/>
        </w:rPr>
      </w:pPr>
      <w:r>
        <w:rPr>
          <w:rFonts w:cs="Calibri"/>
          <w:noProof/>
          <w:sz w:val="24"/>
          <w:szCs w:val="24"/>
        </w:rPr>
        <w:drawing>
          <wp:inline distT="0" distB="0" distL="0" distR="0" wp14:anchorId="734F32F1" wp14:editId="406233E6">
            <wp:extent cx="372110" cy="372110"/>
            <wp:effectExtent l="0" t="0" r="8890" b="8890"/>
            <wp:docPr id="1351840614" name="Obrázek 13518406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CC2CAF">
        <w:rPr>
          <w:rFonts w:ascii="Arial" w:eastAsia="Times New Roman" w:hAnsi="Arial" w:cs="Arial"/>
          <w:b/>
          <w:bCs/>
          <w:color w:val="4472C4" w:themeColor="accent1"/>
          <w:kern w:val="36"/>
          <w:sz w:val="32"/>
          <w:szCs w:val="32"/>
          <w:lang w:eastAsia="cs-CZ"/>
        </w:rPr>
        <w:t>Obsazení nejvyšších pozic v EU</w:t>
      </w:r>
    </w:p>
    <w:p w14:paraId="37899EF1" w14:textId="6DD1776D" w:rsidR="004C77C0" w:rsidRDefault="00CC2CAF" w:rsidP="00C07A43">
      <w:pPr>
        <w:pStyle w:val="Normlnweb"/>
        <w:jc w:val="both"/>
        <w:rPr>
          <w:rFonts w:ascii="Arial" w:eastAsia="Calibri" w:hAnsi="Arial" w:cs="Arial"/>
          <w:lang w:eastAsia="en-US"/>
        </w:rPr>
      </w:pPr>
      <w:r>
        <w:rPr>
          <w:rFonts w:ascii="Arial" w:eastAsia="Calibri" w:hAnsi="Arial" w:cs="Arial"/>
          <w:lang w:eastAsia="en-US"/>
        </w:rPr>
        <w:t xml:space="preserve">V průběhu června a července došlo k vyjasnění obsazení nejvyšších politických funkcí v EU. Jako předsedkyně Komise byla znovuzvolena Němka </w:t>
      </w:r>
      <w:r w:rsidRPr="00CC2CAF">
        <w:rPr>
          <w:rFonts w:ascii="Arial" w:eastAsia="Calibri" w:hAnsi="Arial" w:cs="Arial"/>
          <w:lang w:eastAsia="en-US"/>
        </w:rPr>
        <w:t xml:space="preserve">Ursula von der </w:t>
      </w:r>
      <w:proofErr w:type="spellStart"/>
      <w:r w:rsidRPr="00CC2CAF">
        <w:rPr>
          <w:rFonts w:ascii="Arial" w:eastAsia="Calibri" w:hAnsi="Arial" w:cs="Arial"/>
          <w:lang w:eastAsia="en-US"/>
        </w:rPr>
        <w:t>Leyen</w:t>
      </w:r>
      <w:proofErr w:type="spellEnd"/>
      <w:r>
        <w:rPr>
          <w:rFonts w:ascii="Arial" w:eastAsia="Calibri" w:hAnsi="Arial" w:cs="Arial"/>
          <w:lang w:eastAsia="en-US"/>
        </w:rPr>
        <w:t>. Předsedou Evropské rady byl zvolen bývalý portugalský premiér</w:t>
      </w:r>
      <w:r w:rsidR="00464DFF">
        <w:rPr>
          <w:rFonts w:ascii="Arial" w:eastAsia="Calibri" w:hAnsi="Arial" w:cs="Arial"/>
          <w:lang w:eastAsia="en-US"/>
        </w:rPr>
        <w:t xml:space="preserve"> a advokát</w:t>
      </w:r>
      <w:r w:rsidR="00C3608A">
        <w:rPr>
          <w:rFonts w:ascii="Arial" w:eastAsia="Calibri" w:hAnsi="Arial" w:cs="Arial"/>
          <w:lang w:eastAsia="en-US"/>
        </w:rPr>
        <w:t>,</w:t>
      </w:r>
      <w:r>
        <w:rPr>
          <w:rFonts w:ascii="Arial" w:eastAsia="Calibri" w:hAnsi="Arial" w:cs="Arial"/>
          <w:lang w:eastAsia="en-US"/>
        </w:rPr>
        <w:t xml:space="preserve"> </w:t>
      </w:r>
      <w:proofErr w:type="spellStart"/>
      <w:r w:rsidRPr="00CC2CAF">
        <w:rPr>
          <w:rFonts w:ascii="Arial" w:eastAsia="Calibri" w:hAnsi="Arial" w:cs="Arial"/>
          <w:lang w:eastAsia="en-US"/>
        </w:rPr>
        <w:t>Antóni</w:t>
      </w:r>
      <w:r>
        <w:rPr>
          <w:rFonts w:ascii="Arial" w:eastAsia="Calibri" w:hAnsi="Arial" w:cs="Arial"/>
          <w:lang w:eastAsia="en-US"/>
        </w:rPr>
        <w:t>o</w:t>
      </w:r>
      <w:proofErr w:type="spellEnd"/>
      <w:r>
        <w:rPr>
          <w:rFonts w:ascii="Arial" w:eastAsia="Calibri" w:hAnsi="Arial" w:cs="Arial"/>
          <w:lang w:eastAsia="en-US"/>
        </w:rPr>
        <w:t xml:space="preserve"> </w:t>
      </w:r>
      <w:proofErr w:type="spellStart"/>
      <w:r w:rsidRPr="00CC2CAF">
        <w:rPr>
          <w:rFonts w:ascii="Arial" w:eastAsia="Calibri" w:hAnsi="Arial" w:cs="Arial"/>
          <w:lang w:eastAsia="en-US"/>
        </w:rPr>
        <w:t>Cost</w:t>
      </w:r>
      <w:r>
        <w:rPr>
          <w:rFonts w:ascii="Arial" w:eastAsia="Calibri" w:hAnsi="Arial" w:cs="Arial"/>
          <w:lang w:eastAsia="en-US"/>
        </w:rPr>
        <w:t>a</w:t>
      </w:r>
      <w:proofErr w:type="spellEnd"/>
      <w:r>
        <w:rPr>
          <w:rFonts w:ascii="Arial" w:eastAsia="Calibri" w:hAnsi="Arial" w:cs="Arial"/>
          <w:lang w:eastAsia="en-US"/>
        </w:rPr>
        <w:t xml:space="preserve">, který se ujme úřadu v prosinci 2024. </w:t>
      </w:r>
      <w:r w:rsidR="00464DFF">
        <w:rPr>
          <w:rFonts w:ascii="Arial" w:eastAsia="Calibri" w:hAnsi="Arial" w:cs="Arial"/>
          <w:lang w:eastAsia="en-US"/>
        </w:rPr>
        <w:t xml:space="preserve">Do funkce </w:t>
      </w:r>
      <w:r w:rsidR="00464DFF" w:rsidRPr="00464DFF">
        <w:rPr>
          <w:rFonts w:ascii="Arial" w:eastAsia="Calibri" w:hAnsi="Arial" w:cs="Arial"/>
          <w:lang w:eastAsia="en-US"/>
        </w:rPr>
        <w:t xml:space="preserve">vysoké představitelky Unie pro zahraniční věci a bezpečnostní politiku </w:t>
      </w:r>
      <w:r w:rsidR="00464DFF">
        <w:rPr>
          <w:rFonts w:ascii="Arial" w:eastAsia="Calibri" w:hAnsi="Arial" w:cs="Arial"/>
          <w:lang w:eastAsia="en-US"/>
        </w:rPr>
        <w:t>byla vybrána bývalá estonská premiérka</w:t>
      </w:r>
      <w:r w:rsidR="00464DFF" w:rsidRPr="00464DFF">
        <w:rPr>
          <w:rFonts w:ascii="Arial" w:eastAsia="Calibri" w:hAnsi="Arial" w:cs="Arial"/>
          <w:lang w:eastAsia="en-US"/>
        </w:rPr>
        <w:t> </w:t>
      </w:r>
      <w:r w:rsidR="00464DFF">
        <w:rPr>
          <w:rFonts w:ascii="Arial" w:eastAsia="Calibri" w:hAnsi="Arial" w:cs="Arial"/>
          <w:lang w:eastAsia="en-US"/>
        </w:rPr>
        <w:t>a diplomatka</w:t>
      </w:r>
      <w:r w:rsidR="00C3608A">
        <w:rPr>
          <w:rFonts w:ascii="Arial" w:eastAsia="Calibri" w:hAnsi="Arial" w:cs="Arial"/>
          <w:lang w:eastAsia="en-US"/>
        </w:rPr>
        <w:t>,</w:t>
      </w:r>
      <w:r w:rsidR="00464DFF">
        <w:rPr>
          <w:rFonts w:ascii="Arial" w:eastAsia="Calibri" w:hAnsi="Arial" w:cs="Arial"/>
          <w:lang w:eastAsia="en-US"/>
        </w:rPr>
        <w:t xml:space="preserve"> </w:t>
      </w:r>
      <w:r w:rsidR="00464DFF" w:rsidRPr="00464DFF">
        <w:rPr>
          <w:rFonts w:ascii="Arial" w:eastAsia="Calibri" w:hAnsi="Arial" w:cs="Arial"/>
          <w:lang w:eastAsia="en-US"/>
        </w:rPr>
        <w:t>Kaj</w:t>
      </w:r>
      <w:r w:rsidR="00464DFF">
        <w:rPr>
          <w:rFonts w:ascii="Arial" w:eastAsia="Calibri" w:hAnsi="Arial" w:cs="Arial"/>
          <w:lang w:eastAsia="en-US"/>
        </w:rPr>
        <w:t>a</w:t>
      </w:r>
      <w:r w:rsidR="00464DFF" w:rsidRPr="00464DFF">
        <w:rPr>
          <w:rFonts w:ascii="Arial" w:eastAsia="Calibri" w:hAnsi="Arial" w:cs="Arial"/>
          <w:lang w:eastAsia="en-US"/>
        </w:rPr>
        <w:t xml:space="preserve"> Kallas</w:t>
      </w:r>
      <w:r w:rsidR="00464DFF">
        <w:rPr>
          <w:rFonts w:ascii="Arial" w:eastAsia="Calibri" w:hAnsi="Arial" w:cs="Arial"/>
          <w:lang w:eastAsia="en-US"/>
        </w:rPr>
        <w:t xml:space="preserve">. Jako předsedkyně Evropského parlamentu byla znovuzvolena maltézská politička Roberta </w:t>
      </w:r>
      <w:proofErr w:type="spellStart"/>
      <w:r w:rsidR="00464DFF">
        <w:rPr>
          <w:rFonts w:ascii="Arial" w:eastAsia="Calibri" w:hAnsi="Arial" w:cs="Arial"/>
          <w:lang w:eastAsia="en-US"/>
        </w:rPr>
        <w:t>Metzola</w:t>
      </w:r>
      <w:proofErr w:type="spellEnd"/>
      <w:r w:rsidR="00464DFF">
        <w:rPr>
          <w:rFonts w:ascii="Arial" w:eastAsia="Calibri" w:hAnsi="Arial" w:cs="Arial"/>
          <w:lang w:eastAsia="en-US"/>
        </w:rPr>
        <w:t>, která parlamentu předsedala od ledna 2022.</w:t>
      </w:r>
    </w:p>
    <w:p w14:paraId="49A2E4BE" w14:textId="77777777" w:rsidR="004C77C0" w:rsidRPr="004C77C0" w:rsidRDefault="004C77C0" w:rsidP="004C77C0">
      <w:pPr>
        <w:pStyle w:val="Normlnweb"/>
        <w:jc w:val="both"/>
        <w:rPr>
          <w:rFonts w:ascii="Arial" w:hAnsi="Arial" w:cs="Arial"/>
          <w:b/>
          <w:bCs/>
          <w:color w:val="4472C4" w:themeColor="accent1"/>
        </w:rPr>
      </w:pPr>
    </w:p>
    <w:p w14:paraId="5BAD534F" w14:textId="76C0E8A6" w:rsidR="00766EF8" w:rsidRPr="00F865D9" w:rsidRDefault="00F773E4" w:rsidP="00F865D9">
      <w:pPr>
        <w:shd w:val="clear" w:color="auto" w:fill="FFFFFF"/>
        <w:jc w:val="both"/>
        <w:rPr>
          <w:rFonts w:ascii="Arial" w:hAnsi="Arial" w:cs="Arial"/>
          <w:b/>
          <w:bCs/>
          <w:color w:val="4472C4" w:themeColor="accent1"/>
          <w:sz w:val="32"/>
          <w:szCs w:val="32"/>
        </w:rPr>
      </w:pPr>
      <w:r>
        <w:rPr>
          <w:rFonts w:cs="Calibri"/>
          <w:noProof/>
          <w:sz w:val="24"/>
          <w:szCs w:val="24"/>
        </w:rPr>
        <w:lastRenderedPageBreak/>
        <w:drawing>
          <wp:inline distT="0" distB="0" distL="0" distR="0" wp14:anchorId="0E3525C7" wp14:editId="27F6F832">
            <wp:extent cx="372110" cy="372110"/>
            <wp:effectExtent l="0" t="0" r="8890" b="8890"/>
            <wp:docPr id="773491235" name="Obrázek 7734912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F865D9" w:rsidRPr="00F865D9">
        <w:rPr>
          <w:rFonts w:ascii="Arial" w:hAnsi="Arial" w:cs="Arial"/>
          <w:b/>
          <w:bCs/>
          <w:color w:val="4472C4" w:themeColor="accent1"/>
          <w:sz w:val="32"/>
          <w:szCs w:val="32"/>
        </w:rPr>
        <w:t>Kanada se připojila k programu Horizont Evropa</w:t>
      </w:r>
    </w:p>
    <w:p w14:paraId="2A0E7AA7" w14:textId="55BD759E" w:rsidR="00B0136B" w:rsidRPr="00B0136B" w:rsidRDefault="00B0136B" w:rsidP="00B0136B">
      <w:pPr>
        <w:pStyle w:val="Normlnweb"/>
        <w:jc w:val="both"/>
        <w:rPr>
          <w:rFonts w:ascii="Arial" w:eastAsia="Calibri" w:hAnsi="Arial" w:cs="Arial"/>
          <w:lang w:eastAsia="en-US"/>
        </w:rPr>
      </w:pPr>
      <w:r w:rsidRPr="00B0136B">
        <w:rPr>
          <w:rFonts w:ascii="Arial" w:eastAsia="Calibri" w:hAnsi="Arial" w:cs="Arial"/>
          <w:lang w:eastAsia="en-US"/>
        </w:rPr>
        <w:t xml:space="preserve">Kanada se </w:t>
      </w:r>
      <w:r>
        <w:rPr>
          <w:rFonts w:ascii="Arial" w:eastAsia="Calibri" w:hAnsi="Arial" w:cs="Arial"/>
          <w:lang w:eastAsia="en-US"/>
        </w:rPr>
        <w:t>dne 3. července</w:t>
      </w:r>
      <w:r w:rsidRPr="00B0136B">
        <w:rPr>
          <w:rFonts w:ascii="Arial" w:eastAsia="Calibri" w:hAnsi="Arial" w:cs="Arial"/>
          <w:lang w:eastAsia="en-US"/>
        </w:rPr>
        <w:t xml:space="preserve"> připojil</w:t>
      </w:r>
      <w:r>
        <w:rPr>
          <w:rFonts w:ascii="Arial" w:eastAsia="Calibri" w:hAnsi="Arial" w:cs="Arial"/>
          <w:lang w:eastAsia="en-US"/>
        </w:rPr>
        <w:t>a</w:t>
      </w:r>
      <w:r w:rsidRPr="00B0136B">
        <w:rPr>
          <w:rFonts w:ascii="Arial" w:eastAsia="Calibri" w:hAnsi="Arial" w:cs="Arial"/>
          <w:lang w:eastAsia="en-US"/>
        </w:rPr>
        <w:t xml:space="preserve"> k</w:t>
      </w:r>
      <w:r>
        <w:rPr>
          <w:rFonts w:ascii="Arial" w:eastAsia="Calibri" w:hAnsi="Arial" w:cs="Arial"/>
          <w:lang w:eastAsia="en-US"/>
        </w:rPr>
        <w:t> pilíři II</w:t>
      </w:r>
      <w:r w:rsidRPr="00B0136B">
        <w:rPr>
          <w:rFonts w:ascii="Arial" w:eastAsia="Calibri" w:hAnsi="Arial" w:cs="Arial"/>
          <w:lang w:eastAsia="en-US"/>
        </w:rPr>
        <w:t xml:space="preserve"> programu EU pro výzkum a inovace Horizont Evropa, a bude společně pracovat na rozsáhlých projektech</w:t>
      </w:r>
      <w:r>
        <w:rPr>
          <w:rFonts w:ascii="Arial" w:eastAsia="Calibri" w:hAnsi="Arial" w:cs="Arial"/>
          <w:lang w:eastAsia="en-US"/>
        </w:rPr>
        <w:t xml:space="preserve">. </w:t>
      </w:r>
      <w:r w:rsidRPr="00B0136B">
        <w:rPr>
          <w:rFonts w:ascii="Arial" w:eastAsia="Calibri" w:hAnsi="Arial" w:cs="Arial"/>
          <w:lang w:eastAsia="en-US"/>
        </w:rPr>
        <w:t>Kanadské subjekty se nyní mohou připojit k výzkumným konsorciím</w:t>
      </w:r>
      <w:r>
        <w:rPr>
          <w:rFonts w:ascii="Arial" w:eastAsia="Calibri" w:hAnsi="Arial" w:cs="Arial"/>
          <w:lang w:eastAsia="en-US"/>
        </w:rPr>
        <w:t xml:space="preserve">, jejichž projekty </w:t>
      </w:r>
      <w:r w:rsidRPr="00B0136B">
        <w:rPr>
          <w:rFonts w:ascii="Arial" w:eastAsia="Calibri" w:hAnsi="Arial" w:cs="Arial"/>
          <w:lang w:eastAsia="en-US"/>
        </w:rPr>
        <w:t>budou financovány přímo z programu, zatímco Kanada bude přispívat do jeho rozpočtu.</w:t>
      </w:r>
    </w:p>
    <w:p w14:paraId="2D466DDD" w14:textId="388F37E1" w:rsidR="004C77C0" w:rsidRPr="00B0136B" w:rsidRDefault="00B0136B" w:rsidP="00B0136B">
      <w:pPr>
        <w:pStyle w:val="Normlnweb"/>
        <w:jc w:val="both"/>
        <w:rPr>
          <w:rFonts w:ascii="Arial" w:eastAsia="Calibri" w:hAnsi="Arial" w:cs="Arial"/>
          <w:lang w:eastAsia="en-US"/>
        </w:rPr>
      </w:pPr>
      <w:r w:rsidRPr="00B0136B">
        <w:rPr>
          <w:rFonts w:ascii="Arial" w:eastAsia="Calibri" w:hAnsi="Arial" w:cs="Arial"/>
          <w:lang w:eastAsia="en-US"/>
        </w:rPr>
        <w:t>Horizont Evropa je klíčovým programem EU pro financování výzkumu a inovací s rozpočtem 93,5 miliardy EUR na období 2021–2027. Je zaměřen na boj proti změně klimatu, pomáhá dosáhnout cílů OSN v oblasti udržitelného rozvoje a posiluje konkurenceschopnost a růst EU. Pilíř II je největší kooperativní částí programu s rozpočtem 52,4 miliardy EUR, který je zaměřen na společné globální výzvy: klima, energetiku, digitální ekonomiku a zdraví.</w:t>
      </w:r>
      <w:r>
        <w:rPr>
          <w:rFonts w:ascii="Arial" w:eastAsia="Calibri" w:hAnsi="Arial" w:cs="Arial"/>
          <w:lang w:eastAsia="en-US"/>
        </w:rPr>
        <w:t xml:space="preserve"> Aktuálně</w:t>
      </w:r>
      <w:r w:rsidRPr="00B0136B">
        <w:rPr>
          <w:rFonts w:ascii="Arial" w:eastAsia="Calibri" w:hAnsi="Arial" w:cs="Arial"/>
          <w:lang w:eastAsia="en-US"/>
        </w:rPr>
        <w:t xml:space="preserve"> je </w:t>
      </w:r>
      <w:r>
        <w:rPr>
          <w:rFonts w:ascii="Arial" w:eastAsia="Calibri" w:hAnsi="Arial" w:cs="Arial"/>
          <w:lang w:eastAsia="en-US"/>
        </w:rPr>
        <w:t xml:space="preserve">k programu Horizont Evropa </w:t>
      </w:r>
      <w:r w:rsidRPr="00B0136B">
        <w:rPr>
          <w:rFonts w:ascii="Arial" w:eastAsia="Calibri" w:hAnsi="Arial" w:cs="Arial"/>
          <w:lang w:eastAsia="en-US"/>
        </w:rPr>
        <w:t xml:space="preserve">přidruženo 19 zemí, a to buď na základě jejich členství v Evropském hospodářském prostoru (EHP); nebo jako přistupující země, kandidátské země a potenciální kandidátské země; jako země evropské politiky sousedství (EPS); nebo jako jiné třetí země a území, které splňují soubor kritérií souvisejících s jejich hospodářskými, politickými a výzkumnými a inovačními systémy. </w:t>
      </w:r>
      <w:r>
        <w:rPr>
          <w:rFonts w:ascii="Arial" w:eastAsia="Calibri" w:hAnsi="Arial" w:cs="Arial"/>
          <w:lang w:eastAsia="en-US"/>
        </w:rPr>
        <w:t>Formální jednání o přistoupení byl</w:t>
      </w:r>
      <w:r w:rsidR="00A47DCE">
        <w:rPr>
          <w:rFonts w:ascii="Arial" w:eastAsia="Calibri" w:hAnsi="Arial" w:cs="Arial"/>
          <w:lang w:eastAsia="en-US"/>
        </w:rPr>
        <w:t>a</w:t>
      </w:r>
      <w:r>
        <w:rPr>
          <w:rFonts w:ascii="Arial" w:eastAsia="Calibri" w:hAnsi="Arial" w:cs="Arial"/>
          <w:lang w:eastAsia="en-US"/>
        </w:rPr>
        <w:t xml:space="preserve"> nedávno ukončen</w:t>
      </w:r>
      <w:r w:rsidR="00A47DCE">
        <w:rPr>
          <w:rFonts w:ascii="Arial" w:eastAsia="Calibri" w:hAnsi="Arial" w:cs="Arial"/>
          <w:lang w:eastAsia="en-US"/>
        </w:rPr>
        <w:t xml:space="preserve">a </w:t>
      </w:r>
      <w:r>
        <w:rPr>
          <w:rFonts w:ascii="Arial" w:eastAsia="Calibri" w:hAnsi="Arial" w:cs="Arial"/>
          <w:lang w:eastAsia="en-US"/>
        </w:rPr>
        <w:t>s Korejskou republikou, p</w:t>
      </w:r>
      <w:r w:rsidRPr="00B0136B">
        <w:rPr>
          <w:rFonts w:ascii="Arial" w:eastAsia="Calibri" w:hAnsi="Arial" w:cs="Arial"/>
          <w:lang w:eastAsia="en-US"/>
        </w:rPr>
        <w:t>robíhají jednání se Švýcarskem</w:t>
      </w:r>
      <w:r>
        <w:rPr>
          <w:rFonts w:ascii="Arial" w:eastAsia="Calibri" w:hAnsi="Arial" w:cs="Arial"/>
          <w:lang w:eastAsia="en-US"/>
        </w:rPr>
        <w:t xml:space="preserve">, </w:t>
      </w:r>
      <w:r w:rsidRPr="00B0136B">
        <w:rPr>
          <w:rFonts w:ascii="Arial" w:eastAsia="Calibri" w:hAnsi="Arial" w:cs="Arial"/>
          <w:lang w:eastAsia="en-US"/>
        </w:rPr>
        <w:t>Japonskem a Singapurem.</w:t>
      </w:r>
    </w:p>
    <w:p w14:paraId="12BFEA82" w14:textId="1D6A37BB" w:rsidR="00B0136B" w:rsidRDefault="00F773E4" w:rsidP="004C77C0">
      <w:pPr>
        <w:pStyle w:val="Normlnweb"/>
        <w:jc w:val="both"/>
      </w:pPr>
      <w:r>
        <w:rPr>
          <w:rFonts w:ascii="Arial" w:eastAsia="Calibri" w:hAnsi="Arial" w:cs="Arial"/>
          <w:lang w:eastAsia="en-US"/>
        </w:rPr>
        <w:t xml:space="preserve">Podrobnější informace jsou k dispozici </w:t>
      </w:r>
      <w:r w:rsidR="009B7BE6">
        <w:rPr>
          <w:rFonts w:ascii="Arial" w:eastAsia="Calibri" w:hAnsi="Arial" w:cs="Arial"/>
          <w:lang w:eastAsia="en-US"/>
        </w:rPr>
        <w:t>v </w:t>
      </w:r>
      <w:r w:rsidR="00B0136B">
        <w:rPr>
          <w:rFonts w:ascii="Arial" w:eastAsia="Calibri" w:hAnsi="Arial" w:cs="Arial"/>
          <w:lang w:eastAsia="en-US"/>
        </w:rPr>
        <w:t>angličtině</w:t>
      </w:r>
      <w:r w:rsidR="009B7BE6">
        <w:rPr>
          <w:rFonts w:ascii="Arial" w:eastAsia="Calibri" w:hAnsi="Arial" w:cs="Arial"/>
          <w:lang w:eastAsia="en-US"/>
        </w:rPr>
        <w:t xml:space="preserve"> </w:t>
      </w:r>
      <w:r>
        <w:rPr>
          <w:rFonts w:ascii="Arial" w:eastAsia="Calibri" w:hAnsi="Arial" w:cs="Arial"/>
          <w:lang w:eastAsia="en-US"/>
        </w:rPr>
        <w:t>zde:</w:t>
      </w:r>
      <w:r w:rsidR="009B7BE6">
        <w:rPr>
          <w:rFonts w:ascii="Arial" w:eastAsia="Calibri" w:hAnsi="Arial" w:cs="Arial"/>
          <w:lang w:eastAsia="en-US"/>
        </w:rPr>
        <w:t xml:space="preserve"> </w:t>
      </w:r>
      <w:hyperlink r:id="rId22" w:history="1">
        <w:r w:rsidR="00B0136B" w:rsidRPr="00B0136B">
          <w:rPr>
            <w:rStyle w:val="Hypertextovodkaz"/>
            <w:rFonts w:ascii="Arial" w:hAnsi="Arial" w:cs="Arial"/>
          </w:rPr>
          <w:t>https://research-and-innovation.ec.europa.eu/funding/funding-opportunities/funding-programmes-and-open-calls/horizon-europe_en</w:t>
        </w:r>
      </w:hyperlink>
    </w:p>
    <w:p w14:paraId="16F86D47" w14:textId="77777777" w:rsidR="00766EF8" w:rsidRPr="004C77C0" w:rsidRDefault="00766EF8" w:rsidP="004C77C0">
      <w:pPr>
        <w:pStyle w:val="Normlnweb"/>
        <w:jc w:val="both"/>
        <w:rPr>
          <w:rFonts w:ascii="Arial" w:hAnsi="Arial" w:cs="Arial"/>
        </w:rPr>
      </w:pPr>
    </w:p>
    <w:p w14:paraId="79330F3A" w14:textId="117989F3" w:rsidR="0000765B" w:rsidRPr="00D53526" w:rsidRDefault="001C5777" w:rsidP="00D53526">
      <w:pPr>
        <w:shd w:val="clear" w:color="auto" w:fill="FFFFFF"/>
        <w:jc w:val="both"/>
        <w:rPr>
          <w:rFonts w:ascii="Arial" w:hAnsi="Arial" w:cs="Arial"/>
          <w:b/>
          <w:bCs/>
          <w:color w:val="4472C4" w:themeColor="accent1"/>
          <w:sz w:val="32"/>
          <w:szCs w:val="32"/>
        </w:rPr>
      </w:pPr>
      <w:r>
        <w:rPr>
          <w:rFonts w:cs="Calibri"/>
          <w:noProof/>
          <w:sz w:val="24"/>
          <w:szCs w:val="24"/>
        </w:rPr>
        <w:drawing>
          <wp:inline distT="0" distB="0" distL="0" distR="0" wp14:anchorId="2B2EDA5D" wp14:editId="3F7BF661">
            <wp:extent cx="372110" cy="372110"/>
            <wp:effectExtent l="0" t="0" r="8890" b="8890"/>
            <wp:docPr id="3" name="Obrázek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D53526">
        <w:rPr>
          <w:rFonts w:ascii="Arial" w:hAnsi="Arial" w:cs="Arial"/>
          <w:b/>
          <w:bCs/>
          <w:color w:val="4472C4" w:themeColor="accent1"/>
          <w:sz w:val="32"/>
          <w:szCs w:val="32"/>
        </w:rPr>
        <w:t>Dr</w:t>
      </w:r>
      <w:r w:rsidR="00D53526" w:rsidRPr="00D53526">
        <w:rPr>
          <w:rFonts w:ascii="Arial" w:hAnsi="Arial" w:cs="Arial"/>
          <w:b/>
          <w:bCs/>
          <w:color w:val="4472C4" w:themeColor="accent1"/>
          <w:sz w:val="32"/>
          <w:szCs w:val="32"/>
        </w:rPr>
        <w:t xml:space="preserve">uhá zpráva </w:t>
      </w:r>
      <w:r w:rsidR="00D53526">
        <w:rPr>
          <w:rFonts w:ascii="Arial" w:hAnsi="Arial" w:cs="Arial"/>
          <w:b/>
          <w:bCs/>
          <w:color w:val="4472C4" w:themeColor="accent1"/>
          <w:sz w:val="32"/>
          <w:szCs w:val="32"/>
        </w:rPr>
        <w:t xml:space="preserve">Komise </w:t>
      </w:r>
      <w:r w:rsidR="00D53526" w:rsidRPr="00D53526">
        <w:rPr>
          <w:rFonts w:ascii="Arial" w:hAnsi="Arial" w:cs="Arial"/>
          <w:b/>
          <w:bCs/>
          <w:color w:val="4472C4" w:themeColor="accent1"/>
          <w:sz w:val="32"/>
          <w:szCs w:val="32"/>
        </w:rPr>
        <w:t>o stavu digitální dekády</w:t>
      </w:r>
    </w:p>
    <w:p w14:paraId="7D71F53A" w14:textId="2AE2C9D2" w:rsidR="00D53526" w:rsidRPr="00D53526" w:rsidRDefault="00D53526" w:rsidP="00D53526">
      <w:pPr>
        <w:shd w:val="clear" w:color="auto" w:fill="FFFFFF"/>
        <w:spacing w:line="240" w:lineRule="auto"/>
        <w:jc w:val="both"/>
        <w:outlineLvl w:val="0"/>
        <w:rPr>
          <w:rFonts w:ascii="Arial" w:hAnsi="Arial" w:cs="Arial"/>
          <w:sz w:val="24"/>
          <w:szCs w:val="24"/>
        </w:rPr>
      </w:pPr>
      <w:r w:rsidRPr="00D53526">
        <w:rPr>
          <w:rFonts w:ascii="Arial" w:hAnsi="Arial" w:cs="Arial"/>
          <w:sz w:val="24"/>
          <w:szCs w:val="24"/>
        </w:rPr>
        <w:t>Komise dne</w:t>
      </w:r>
      <w:r>
        <w:rPr>
          <w:rFonts w:ascii="Arial" w:hAnsi="Arial" w:cs="Arial"/>
          <w:sz w:val="24"/>
          <w:szCs w:val="24"/>
        </w:rPr>
        <w:t xml:space="preserve"> 2. července</w:t>
      </w:r>
      <w:r w:rsidRPr="00D53526">
        <w:rPr>
          <w:rFonts w:ascii="Arial" w:hAnsi="Arial" w:cs="Arial"/>
          <w:sz w:val="24"/>
          <w:szCs w:val="24"/>
        </w:rPr>
        <w:t xml:space="preserve"> zveřejnila druhou zprávu o stavu digitální dekády, která poskytuje komplexní přehled o pokroku při dosahování digitálních cílů a úkolů stanovených pro rok 2030 v politickém programu Digitální dekáda. Letos je ke zprávě poprvé připojena analýza národních</w:t>
      </w:r>
      <w:r>
        <w:rPr>
          <w:rFonts w:ascii="Arial" w:hAnsi="Arial" w:cs="Arial"/>
          <w:sz w:val="24"/>
          <w:szCs w:val="24"/>
        </w:rPr>
        <w:t xml:space="preserve"> </w:t>
      </w:r>
      <w:r w:rsidRPr="00D53526">
        <w:rPr>
          <w:rFonts w:ascii="Arial" w:hAnsi="Arial" w:cs="Arial"/>
          <w:sz w:val="24"/>
          <w:szCs w:val="24"/>
        </w:rPr>
        <w:t>strategických plánů pro digitální dekádu předložených členskými státy, v níž jsou podrobně popsána plánovaná vnitrostátní opatření, činnosti a financování s cílem přispět k digitální transformaci EU.</w:t>
      </w:r>
      <w:r>
        <w:rPr>
          <w:rFonts w:ascii="Arial" w:hAnsi="Arial" w:cs="Arial"/>
          <w:sz w:val="24"/>
          <w:szCs w:val="24"/>
        </w:rPr>
        <w:t xml:space="preserve"> </w:t>
      </w:r>
      <w:r w:rsidRPr="00D53526">
        <w:rPr>
          <w:rFonts w:ascii="Arial" w:hAnsi="Arial" w:cs="Arial"/>
          <w:sz w:val="24"/>
          <w:szCs w:val="24"/>
        </w:rPr>
        <w:t>Zjištěné nedostatky zahrnují potřebu dalších investic, a to jak na úrovni EU, tak na vnitrostátní úrovni, zejména v oblasti digitálních dovedností, vysoce kvalitní konektivity, využívání umělé inteligence a analýzy dat ze strany podniků, výroby polovodičů a ekosystémů začínajících podniků.</w:t>
      </w:r>
      <w:r>
        <w:rPr>
          <w:rFonts w:ascii="Arial" w:hAnsi="Arial" w:cs="Arial"/>
          <w:sz w:val="24"/>
          <w:szCs w:val="24"/>
        </w:rPr>
        <w:t xml:space="preserve"> </w:t>
      </w:r>
      <w:r w:rsidRPr="00D53526">
        <w:rPr>
          <w:rFonts w:ascii="Arial" w:hAnsi="Arial" w:cs="Arial"/>
          <w:sz w:val="24"/>
          <w:szCs w:val="24"/>
        </w:rPr>
        <w:t>V této souvislosti Komise rovněž aktualizovala doporučení pro jednotlivé země a průřezová doporučení pro každý členský stát EU s cílem řešit zjištěné nedostatky.</w:t>
      </w:r>
      <w:r>
        <w:rPr>
          <w:rFonts w:ascii="Arial" w:hAnsi="Arial" w:cs="Arial"/>
          <w:sz w:val="24"/>
          <w:szCs w:val="24"/>
        </w:rPr>
        <w:t xml:space="preserve"> Pokud jde o Česko, dle analýzy je potřeba</w:t>
      </w:r>
      <w:r w:rsidRPr="00D53526">
        <w:rPr>
          <w:rFonts w:ascii="Arial" w:hAnsi="Arial" w:cs="Arial"/>
          <w:sz w:val="24"/>
          <w:szCs w:val="24"/>
        </w:rPr>
        <w:t xml:space="preserve"> zlepšit výkonnost při plnění cílů a úkolů Digitální dekády</w:t>
      </w:r>
      <w:r>
        <w:rPr>
          <w:rFonts w:ascii="Arial" w:hAnsi="Arial" w:cs="Arial"/>
          <w:sz w:val="24"/>
          <w:szCs w:val="24"/>
        </w:rPr>
        <w:t xml:space="preserve"> na podporu</w:t>
      </w:r>
      <w:r w:rsidRPr="00D53526">
        <w:rPr>
          <w:rFonts w:ascii="Arial" w:hAnsi="Arial" w:cs="Arial"/>
          <w:sz w:val="24"/>
          <w:szCs w:val="24"/>
        </w:rPr>
        <w:t xml:space="preserve"> konkurenceschopnost</w:t>
      </w:r>
      <w:r>
        <w:rPr>
          <w:rFonts w:ascii="Arial" w:hAnsi="Arial" w:cs="Arial"/>
          <w:sz w:val="24"/>
          <w:szCs w:val="24"/>
        </w:rPr>
        <w:t>i</w:t>
      </w:r>
      <w:r w:rsidRPr="00D53526">
        <w:rPr>
          <w:rFonts w:ascii="Arial" w:hAnsi="Arial" w:cs="Arial"/>
          <w:sz w:val="24"/>
          <w:szCs w:val="24"/>
        </w:rPr>
        <w:t>, odolnost</w:t>
      </w:r>
      <w:r>
        <w:rPr>
          <w:rFonts w:ascii="Arial" w:hAnsi="Arial" w:cs="Arial"/>
          <w:sz w:val="24"/>
          <w:szCs w:val="24"/>
        </w:rPr>
        <w:t>i</w:t>
      </w:r>
      <w:r w:rsidRPr="00D53526">
        <w:rPr>
          <w:rFonts w:ascii="Arial" w:hAnsi="Arial" w:cs="Arial"/>
          <w:sz w:val="24"/>
          <w:szCs w:val="24"/>
        </w:rPr>
        <w:t>, suverenit</w:t>
      </w:r>
      <w:r>
        <w:rPr>
          <w:rFonts w:ascii="Arial" w:hAnsi="Arial" w:cs="Arial"/>
          <w:sz w:val="24"/>
          <w:szCs w:val="24"/>
        </w:rPr>
        <w:t>y</w:t>
      </w:r>
      <w:r w:rsidRPr="00D53526">
        <w:rPr>
          <w:rFonts w:ascii="Arial" w:hAnsi="Arial" w:cs="Arial"/>
          <w:sz w:val="24"/>
          <w:szCs w:val="24"/>
        </w:rPr>
        <w:t xml:space="preserve"> a prosazo</w:t>
      </w:r>
      <w:r>
        <w:rPr>
          <w:rFonts w:ascii="Arial" w:hAnsi="Arial" w:cs="Arial"/>
          <w:sz w:val="24"/>
          <w:szCs w:val="24"/>
        </w:rPr>
        <w:t>vání</w:t>
      </w:r>
      <w:r w:rsidRPr="00D53526">
        <w:rPr>
          <w:rFonts w:ascii="Arial" w:hAnsi="Arial" w:cs="Arial"/>
          <w:sz w:val="24"/>
          <w:szCs w:val="24"/>
        </w:rPr>
        <w:t xml:space="preserve"> evropsk</w:t>
      </w:r>
      <w:r>
        <w:rPr>
          <w:rFonts w:ascii="Arial" w:hAnsi="Arial" w:cs="Arial"/>
          <w:sz w:val="24"/>
          <w:szCs w:val="24"/>
        </w:rPr>
        <w:t>ých</w:t>
      </w:r>
      <w:r w:rsidRPr="00D53526">
        <w:rPr>
          <w:rFonts w:ascii="Arial" w:hAnsi="Arial" w:cs="Arial"/>
          <w:sz w:val="24"/>
          <w:szCs w:val="24"/>
        </w:rPr>
        <w:t xml:space="preserve"> hodnot</w:t>
      </w:r>
      <w:r>
        <w:rPr>
          <w:rFonts w:ascii="Arial" w:hAnsi="Arial" w:cs="Arial"/>
          <w:sz w:val="24"/>
          <w:szCs w:val="24"/>
        </w:rPr>
        <w:t xml:space="preserve"> </w:t>
      </w:r>
      <w:r w:rsidRPr="00D53526">
        <w:rPr>
          <w:rFonts w:ascii="Arial" w:hAnsi="Arial" w:cs="Arial"/>
          <w:sz w:val="24"/>
          <w:szCs w:val="24"/>
        </w:rPr>
        <w:t>a opatření v oblasti klimatu</w:t>
      </w:r>
      <w:r>
        <w:rPr>
          <w:rFonts w:ascii="Arial" w:hAnsi="Arial" w:cs="Arial"/>
          <w:sz w:val="24"/>
          <w:szCs w:val="24"/>
        </w:rPr>
        <w:t xml:space="preserve">. Konkrétně by mělo </w:t>
      </w:r>
      <w:r w:rsidRPr="00935B98">
        <w:rPr>
          <w:rFonts w:ascii="Arial" w:hAnsi="Arial" w:cs="Arial"/>
          <w:sz w:val="24"/>
          <w:szCs w:val="24"/>
        </w:rPr>
        <w:t>zjednodušit povolovací řízení</w:t>
      </w:r>
      <w:r w:rsidRPr="00D53526">
        <w:rPr>
          <w:rFonts w:ascii="Arial" w:hAnsi="Arial" w:cs="Arial"/>
          <w:sz w:val="24"/>
          <w:szCs w:val="24"/>
        </w:rPr>
        <w:t xml:space="preserve"> pro zavádění sítí a podpo</w:t>
      </w:r>
      <w:r>
        <w:rPr>
          <w:rFonts w:ascii="Arial" w:hAnsi="Arial" w:cs="Arial"/>
          <w:sz w:val="24"/>
          <w:szCs w:val="24"/>
        </w:rPr>
        <w:t>řit</w:t>
      </w:r>
      <w:r w:rsidRPr="00D53526">
        <w:rPr>
          <w:rFonts w:ascii="Arial" w:hAnsi="Arial" w:cs="Arial"/>
          <w:sz w:val="24"/>
          <w:szCs w:val="24"/>
        </w:rPr>
        <w:t xml:space="preserve"> výstavb</w:t>
      </w:r>
      <w:r>
        <w:rPr>
          <w:rFonts w:ascii="Arial" w:hAnsi="Arial" w:cs="Arial"/>
          <w:sz w:val="24"/>
          <w:szCs w:val="24"/>
        </w:rPr>
        <w:t>u</w:t>
      </w:r>
      <w:r w:rsidRPr="00D53526">
        <w:rPr>
          <w:rFonts w:ascii="Arial" w:hAnsi="Arial" w:cs="Arial"/>
          <w:sz w:val="24"/>
          <w:szCs w:val="24"/>
        </w:rPr>
        <w:t xml:space="preserve"> budov připravených na optické připojení.</w:t>
      </w:r>
      <w:r>
        <w:rPr>
          <w:rFonts w:ascii="Arial" w:hAnsi="Arial" w:cs="Arial"/>
          <w:sz w:val="24"/>
          <w:szCs w:val="24"/>
        </w:rPr>
        <w:t xml:space="preserve"> Česku se dále doporučuje p</w:t>
      </w:r>
      <w:r w:rsidRPr="00D53526">
        <w:rPr>
          <w:rFonts w:ascii="Arial" w:hAnsi="Arial" w:cs="Arial"/>
          <w:sz w:val="24"/>
          <w:szCs w:val="24"/>
        </w:rPr>
        <w:t>okračovat v dotačních výzvách na digitalizaci malých a středních podniků a rozšířit je, aby se zvýšila jejich kapacita prostřednictvím podpůrných služeb při realizaci jejich projektů</w:t>
      </w:r>
      <w:r>
        <w:rPr>
          <w:rFonts w:ascii="Arial" w:hAnsi="Arial" w:cs="Arial"/>
          <w:sz w:val="24"/>
          <w:szCs w:val="24"/>
        </w:rPr>
        <w:t>; a z</w:t>
      </w:r>
      <w:r w:rsidRPr="00D53526">
        <w:rPr>
          <w:rFonts w:ascii="Arial" w:hAnsi="Arial" w:cs="Arial"/>
          <w:sz w:val="24"/>
          <w:szCs w:val="24"/>
        </w:rPr>
        <w:t>výšit atraktivitu studia přírodních věd, technologií, inženýrství a matematiky (STEM) a kariéry v oblasti ICT, zejména mezi ženami. </w:t>
      </w:r>
      <w:r>
        <w:rPr>
          <w:rFonts w:ascii="Arial" w:hAnsi="Arial" w:cs="Arial"/>
          <w:sz w:val="24"/>
          <w:szCs w:val="24"/>
        </w:rPr>
        <w:t>Dále se Česku doporučuje z</w:t>
      </w:r>
      <w:r w:rsidRPr="00D53526">
        <w:rPr>
          <w:rFonts w:ascii="Arial" w:hAnsi="Arial" w:cs="Arial"/>
          <w:sz w:val="24"/>
          <w:szCs w:val="24"/>
        </w:rPr>
        <w:t xml:space="preserve">přístupnit občanům více typů zdravotních údajů prostřednictvím služby online přístupu. </w:t>
      </w:r>
    </w:p>
    <w:p w14:paraId="1CBB0034" w14:textId="4D0388EE" w:rsidR="00D53526" w:rsidRPr="00D53526" w:rsidRDefault="00D53526" w:rsidP="00D53526">
      <w:pPr>
        <w:shd w:val="clear" w:color="auto" w:fill="FFFFFF"/>
        <w:spacing w:line="240" w:lineRule="auto"/>
        <w:jc w:val="both"/>
        <w:outlineLvl w:val="0"/>
        <w:rPr>
          <w:rFonts w:ascii="Arial" w:hAnsi="Arial" w:cs="Arial"/>
          <w:sz w:val="24"/>
          <w:szCs w:val="24"/>
        </w:rPr>
      </w:pPr>
      <w:r>
        <w:rPr>
          <w:rFonts w:ascii="Arial" w:hAnsi="Arial" w:cs="Arial"/>
          <w:sz w:val="24"/>
          <w:szCs w:val="24"/>
        </w:rPr>
        <w:lastRenderedPageBreak/>
        <w:t xml:space="preserve">Kompletní zpráva i národní kapitoly jsou k dispozici v angličtině </w:t>
      </w:r>
      <w:r w:rsidR="001C5777">
        <w:rPr>
          <w:rFonts w:ascii="Arial" w:hAnsi="Arial" w:cs="Arial"/>
          <w:sz w:val="24"/>
          <w:szCs w:val="24"/>
        </w:rPr>
        <w:t>zde:</w:t>
      </w:r>
      <w:r w:rsidR="00A173BE">
        <w:rPr>
          <w:rFonts w:ascii="Arial" w:hAnsi="Arial" w:cs="Arial"/>
          <w:sz w:val="24"/>
          <w:szCs w:val="24"/>
        </w:rPr>
        <w:t xml:space="preserve"> </w:t>
      </w:r>
      <w:hyperlink r:id="rId23" w:history="1">
        <w:r w:rsidRPr="00730AE7">
          <w:rPr>
            <w:rStyle w:val="Hypertextovodkaz"/>
            <w:rFonts w:ascii="Arial" w:hAnsi="Arial" w:cs="Arial"/>
            <w:sz w:val="24"/>
            <w:szCs w:val="24"/>
          </w:rPr>
          <w:t>https://ec.europa.eu/commission/presscorner/detail/cs/ip_24_3602</w:t>
        </w:r>
      </w:hyperlink>
    </w:p>
    <w:p w14:paraId="515DA53A" w14:textId="091E97A9" w:rsidR="003312B7" w:rsidRPr="003312B7" w:rsidRDefault="006B15B6" w:rsidP="007C36F9">
      <w:pPr>
        <w:shd w:val="clear" w:color="auto" w:fill="FFFFFF"/>
        <w:jc w:val="both"/>
        <w:rPr>
          <w:rFonts w:ascii="Arial" w:hAnsi="Arial" w:cs="Arial"/>
          <w:b/>
          <w:bCs/>
          <w:color w:val="4472C4" w:themeColor="accent1"/>
          <w:sz w:val="32"/>
          <w:szCs w:val="32"/>
        </w:rPr>
      </w:pPr>
      <w:r w:rsidRPr="006B15B6">
        <w:rPr>
          <w:rFonts w:ascii="Arial" w:hAnsi="Arial" w:cs="Arial"/>
          <w:b/>
          <w:bCs/>
          <w:noProof/>
          <w:color w:val="4472C4" w:themeColor="accent1"/>
          <w:sz w:val="32"/>
          <w:szCs w:val="32"/>
        </w:rPr>
        <w:drawing>
          <wp:inline distT="0" distB="0" distL="0" distR="0" wp14:anchorId="05541211" wp14:editId="0545C47C">
            <wp:extent cx="372110" cy="372110"/>
            <wp:effectExtent l="0" t="0" r="8890" b="8890"/>
            <wp:docPr id="742263176" name="Obrázek 74226317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007C36F9" w:rsidRPr="007C36F9">
        <w:rPr>
          <w:color w:val="FFFFFF"/>
        </w:rPr>
        <w:t xml:space="preserve"> </w:t>
      </w:r>
      <w:r w:rsidR="007C36F9" w:rsidRPr="007C36F9">
        <w:rPr>
          <w:rFonts w:ascii="Arial" w:hAnsi="Arial" w:cs="Arial"/>
          <w:b/>
          <w:bCs/>
          <w:color w:val="4472C4" w:themeColor="accent1"/>
          <w:sz w:val="32"/>
          <w:szCs w:val="32"/>
        </w:rPr>
        <w:t xml:space="preserve">EU </w:t>
      </w:r>
      <w:r w:rsidR="007C36F9">
        <w:rPr>
          <w:rFonts w:ascii="Arial" w:hAnsi="Arial" w:cs="Arial"/>
          <w:b/>
          <w:bCs/>
          <w:color w:val="4472C4" w:themeColor="accent1"/>
          <w:sz w:val="32"/>
          <w:szCs w:val="32"/>
        </w:rPr>
        <w:t>odstupuje</w:t>
      </w:r>
      <w:r w:rsidR="007C36F9" w:rsidRPr="007C36F9">
        <w:rPr>
          <w:rFonts w:ascii="Arial" w:hAnsi="Arial" w:cs="Arial"/>
          <w:b/>
          <w:bCs/>
          <w:color w:val="4472C4" w:themeColor="accent1"/>
          <w:sz w:val="32"/>
          <w:szCs w:val="32"/>
        </w:rPr>
        <w:t xml:space="preserve"> od Smlouvy o energetické chartě a </w:t>
      </w:r>
      <w:proofErr w:type="gramStart"/>
      <w:r w:rsidR="007C36F9" w:rsidRPr="007C36F9">
        <w:rPr>
          <w:rFonts w:ascii="Arial" w:hAnsi="Arial" w:cs="Arial"/>
          <w:b/>
          <w:bCs/>
          <w:color w:val="4472C4" w:themeColor="accent1"/>
          <w:sz w:val="32"/>
          <w:szCs w:val="32"/>
        </w:rPr>
        <w:t>ukončí</w:t>
      </w:r>
      <w:proofErr w:type="gramEnd"/>
      <w:r w:rsidR="007C36F9" w:rsidRPr="007C36F9">
        <w:rPr>
          <w:rFonts w:ascii="Arial" w:hAnsi="Arial" w:cs="Arial"/>
          <w:b/>
          <w:bCs/>
          <w:color w:val="4472C4" w:themeColor="accent1"/>
          <w:sz w:val="32"/>
          <w:szCs w:val="32"/>
        </w:rPr>
        <w:t xml:space="preserve"> rozhodčí řízení uvnitř EU</w:t>
      </w:r>
    </w:p>
    <w:p w14:paraId="0B795F64" w14:textId="578BA260" w:rsidR="007C36F9" w:rsidRPr="007C36F9" w:rsidRDefault="007C36F9" w:rsidP="007C36F9">
      <w:pPr>
        <w:pStyle w:val="Normlnweb"/>
        <w:jc w:val="both"/>
        <w:rPr>
          <w:rFonts w:ascii="Arial" w:hAnsi="Arial" w:cs="Arial"/>
          <w:color w:val="000000"/>
        </w:rPr>
      </w:pPr>
      <w:r w:rsidRPr="007C36F9">
        <w:rPr>
          <w:rFonts w:ascii="Arial" w:hAnsi="Arial" w:cs="Arial"/>
          <w:color w:val="000000"/>
        </w:rPr>
        <w:t>EU </w:t>
      </w:r>
      <w:r>
        <w:rPr>
          <w:rFonts w:ascii="Arial" w:hAnsi="Arial" w:cs="Arial"/>
          <w:color w:val="000000"/>
        </w:rPr>
        <w:t xml:space="preserve">dne 28. června </w:t>
      </w:r>
      <w:r w:rsidRPr="007C36F9">
        <w:rPr>
          <w:rStyle w:val="Siln"/>
          <w:rFonts w:ascii="Arial" w:hAnsi="Arial" w:cs="Arial"/>
          <w:b w:val="0"/>
          <w:bCs w:val="0"/>
          <w:color w:val="000000"/>
        </w:rPr>
        <w:t>učinila poslední krok k ukončení platnosti Smlouvy o energetické chartě, mnohostranné</w:t>
      </w:r>
      <w:r w:rsidRPr="007C36F9">
        <w:rPr>
          <w:rFonts w:ascii="Arial" w:hAnsi="Arial" w:cs="Arial"/>
          <w:color w:val="000000"/>
        </w:rPr>
        <w:t xml:space="preserve"> obchodní a investiční dohody vztahující se na odvětví energetiky, která není slučitelná s cíli EU v oblasti klimatu a energetiky v rámci </w:t>
      </w:r>
      <w:proofErr w:type="gramStart"/>
      <w:r w:rsidRPr="007C36F9">
        <w:rPr>
          <w:rFonts w:ascii="Arial" w:hAnsi="Arial" w:cs="Arial"/>
          <w:color w:val="000000"/>
        </w:rPr>
        <w:t>Zelené</w:t>
      </w:r>
      <w:proofErr w:type="gramEnd"/>
      <w:r w:rsidRPr="007C36F9">
        <w:rPr>
          <w:rFonts w:ascii="Arial" w:hAnsi="Arial" w:cs="Arial"/>
          <w:color w:val="000000"/>
        </w:rPr>
        <w:t xml:space="preserve"> dohody pro Evropu a Pařížské dohody.</w:t>
      </w:r>
      <w:r>
        <w:rPr>
          <w:rFonts w:ascii="Arial" w:hAnsi="Arial" w:cs="Arial"/>
          <w:color w:val="000000"/>
        </w:rPr>
        <w:t xml:space="preserve"> Smlouva</w:t>
      </w:r>
      <w:r w:rsidRPr="007C36F9">
        <w:rPr>
          <w:rFonts w:ascii="Arial" w:hAnsi="Arial" w:cs="Arial"/>
          <w:color w:val="000000"/>
        </w:rPr>
        <w:t xml:space="preserve"> byla podepsána v roce 1994 a vstoupila v platnost v roce 1998. Evropská unie je smluvní stranou uvedené smlouvy společně s Euratomem, 22 členskými státy EU</w:t>
      </w:r>
      <w:r>
        <w:rPr>
          <w:rFonts w:ascii="Arial" w:hAnsi="Arial" w:cs="Arial"/>
          <w:color w:val="000000"/>
        </w:rPr>
        <w:t xml:space="preserve">, </w:t>
      </w:r>
      <w:r w:rsidRPr="007C36F9">
        <w:rPr>
          <w:rFonts w:ascii="Arial" w:hAnsi="Arial" w:cs="Arial"/>
          <w:color w:val="000000"/>
        </w:rPr>
        <w:t>jakož i Japonskem, Švýcarskem, Tureckem a většinou zemí západního Balkánu a bývalého Svazu sovětských socialistických republik s výjimkou Ruska a Běloruska. Pokud jde o členské státy EU, Itálie v roce 2015 jednostranně odstoupila. Francie, Německo, Polsko a Lucembursko již od Smlouvy o energetické chartě odstoupily. Slovinsko, Portugalsko a Španělsko rovněž zahájily postup vystoupení.</w:t>
      </w:r>
    </w:p>
    <w:p w14:paraId="514679D2" w14:textId="5C40258F" w:rsidR="007C36F9" w:rsidRPr="007C36F9" w:rsidRDefault="007C36F9" w:rsidP="007C36F9">
      <w:pPr>
        <w:pStyle w:val="Normlnweb"/>
        <w:jc w:val="both"/>
        <w:rPr>
          <w:rFonts w:ascii="Arial" w:hAnsi="Arial" w:cs="Arial"/>
          <w:color w:val="000000"/>
        </w:rPr>
      </w:pPr>
      <w:r w:rsidRPr="007C36F9">
        <w:rPr>
          <w:rFonts w:ascii="Arial" w:hAnsi="Arial" w:cs="Arial"/>
          <w:color w:val="000000"/>
        </w:rPr>
        <w:t xml:space="preserve">Komise jménem EU vyjednala modernizaci Smlouvy o energetické chartě s cílem uvést ji do souladu s cíli Unie v oblasti klimatu a energetiky a jejím rámcem pro ochranu investic. Vzhledem k nedostatečné většinové podpoře ze strany členských států však EU dosud </w:t>
      </w:r>
      <w:r>
        <w:rPr>
          <w:rFonts w:ascii="Arial" w:hAnsi="Arial" w:cs="Arial"/>
          <w:color w:val="000000"/>
        </w:rPr>
        <w:t xml:space="preserve">pro modernizaci </w:t>
      </w:r>
      <w:r w:rsidRPr="007C36F9">
        <w:rPr>
          <w:rFonts w:ascii="Arial" w:hAnsi="Arial" w:cs="Arial"/>
          <w:color w:val="000000"/>
        </w:rPr>
        <w:t>nehlasovala</w:t>
      </w:r>
      <w:r>
        <w:rPr>
          <w:rFonts w:ascii="Arial" w:hAnsi="Arial" w:cs="Arial"/>
          <w:color w:val="000000"/>
        </w:rPr>
        <w:t xml:space="preserve">, proto Komise navrhla odstoupení, </w:t>
      </w:r>
      <w:r w:rsidRPr="007C36F9">
        <w:rPr>
          <w:rFonts w:ascii="Arial" w:hAnsi="Arial" w:cs="Arial"/>
          <w:color w:val="000000"/>
        </w:rPr>
        <w:t>zejména kvůli obavám ohledně ochrany investic do fosilních paliv.</w:t>
      </w:r>
      <w:r>
        <w:rPr>
          <w:rFonts w:ascii="Arial" w:hAnsi="Arial" w:cs="Arial"/>
          <w:color w:val="000000"/>
        </w:rPr>
        <w:t xml:space="preserve"> R</w:t>
      </w:r>
      <w:r w:rsidRPr="007C36F9">
        <w:rPr>
          <w:rFonts w:ascii="Arial" w:hAnsi="Arial" w:cs="Arial"/>
          <w:color w:val="000000"/>
        </w:rPr>
        <w:t>ozhodčí doložka stanovená ve Smlouvě o energetické chartě ve vztazích mezi investorem z EU a zemí EU</w:t>
      </w:r>
      <w:r>
        <w:rPr>
          <w:rFonts w:ascii="Arial" w:hAnsi="Arial" w:cs="Arial"/>
          <w:color w:val="000000"/>
        </w:rPr>
        <w:t xml:space="preserve"> nebude použitelná, což navazuje na rozsudek SDEU </w:t>
      </w:r>
      <w:proofErr w:type="spellStart"/>
      <w:r>
        <w:rPr>
          <w:rFonts w:ascii="Arial" w:hAnsi="Arial" w:cs="Arial"/>
          <w:color w:val="000000"/>
        </w:rPr>
        <w:t>Komstroy</w:t>
      </w:r>
      <w:proofErr w:type="spellEnd"/>
      <w:r>
        <w:rPr>
          <w:rFonts w:ascii="Arial" w:hAnsi="Arial" w:cs="Arial"/>
          <w:color w:val="000000"/>
        </w:rPr>
        <w:t xml:space="preserve">, dle kterého </w:t>
      </w:r>
      <w:r w:rsidRPr="007C36F9">
        <w:rPr>
          <w:rFonts w:ascii="Arial" w:hAnsi="Arial" w:cs="Arial"/>
          <w:color w:val="000000"/>
        </w:rPr>
        <w:t>jsou rozhodčí nálezy v tomto rámci neplatné a jako takové jsou nevymahatelné kdekoli v Unii.</w:t>
      </w:r>
    </w:p>
    <w:p w14:paraId="115160FF" w14:textId="7A02DD5E" w:rsidR="007C36F9" w:rsidRPr="007C36F9" w:rsidRDefault="003312B7" w:rsidP="007C36F9">
      <w:pPr>
        <w:shd w:val="clear" w:color="auto" w:fill="FFFFFF"/>
        <w:spacing w:line="240" w:lineRule="auto"/>
        <w:jc w:val="both"/>
        <w:outlineLvl w:val="0"/>
      </w:pPr>
      <w:r>
        <w:rPr>
          <w:rFonts w:ascii="Arial" w:hAnsi="Arial" w:cs="Arial"/>
          <w:sz w:val="24"/>
          <w:szCs w:val="24"/>
        </w:rPr>
        <w:t xml:space="preserve">Více informací je v angličtině k dispozici zde: </w:t>
      </w:r>
      <w:hyperlink r:id="rId24" w:history="1">
        <w:r w:rsidR="007C36F9" w:rsidRPr="007C36F9">
          <w:rPr>
            <w:rStyle w:val="Hypertextovodkaz"/>
            <w:rFonts w:ascii="Arial" w:hAnsi="Arial" w:cs="Arial"/>
            <w:sz w:val="24"/>
            <w:szCs w:val="24"/>
          </w:rPr>
          <w:t>https://energy.ec.europa.eu/topics/international-cooperation/international-organisations-and-initiatives/energy-charter_en</w:t>
        </w:r>
      </w:hyperlink>
    </w:p>
    <w:p w14:paraId="2948BE70" w14:textId="78F56DF4" w:rsidR="008B7BC4" w:rsidRPr="008B7BC4" w:rsidRDefault="003312B7" w:rsidP="008B7BC4">
      <w:pPr>
        <w:shd w:val="clear" w:color="auto" w:fill="FFFFFF"/>
        <w:jc w:val="both"/>
        <w:rPr>
          <w:rFonts w:ascii="Arial" w:hAnsi="Arial" w:cs="Arial"/>
          <w:b/>
          <w:bCs/>
          <w:color w:val="4472C4" w:themeColor="accent1"/>
          <w:sz w:val="32"/>
          <w:szCs w:val="32"/>
        </w:rPr>
      </w:pPr>
      <w:r>
        <w:rPr>
          <w:rFonts w:cs="Calibri"/>
          <w:noProof/>
          <w:sz w:val="24"/>
          <w:szCs w:val="24"/>
        </w:rPr>
        <w:drawing>
          <wp:inline distT="0" distB="0" distL="0" distR="0" wp14:anchorId="00FE47EC" wp14:editId="3619D71E">
            <wp:extent cx="372110" cy="372110"/>
            <wp:effectExtent l="0" t="0" r="8890" b="8890"/>
            <wp:docPr id="1907626384" name="Obrázek 190762638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008B7BC4" w:rsidRPr="008B7BC4">
        <w:rPr>
          <w:color w:val="FFFFFF"/>
        </w:rPr>
        <w:t xml:space="preserve"> </w:t>
      </w:r>
      <w:r w:rsidR="008B7BC4" w:rsidRPr="008B7BC4">
        <w:rPr>
          <w:rFonts w:ascii="Arial" w:hAnsi="Arial" w:cs="Arial"/>
          <w:b/>
          <w:bCs/>
          <w:color w:val="4472C4" w:themeColor="accent1"/>
          <w:sz w:val="32"/>
          <w:szCs w:val="32"/>
        </w:rPr>
        <w:t>Konvergenční zpráva hodnotí pokrok členských států v přípravách na vstup do eurozóny</w:t>
      </w:r>
    </w:p>
    <w:p w14:paraId="73364976" w14:textId="23A2F6C2" w:rsidR="008B7BC4" w:rsidRPr="008B7BC4" w:rsidRDefault="008B7BC4" w:rsidP="008B7BC4">
      <w:pPr>
        <w:pStyle w:val="Normlnweb"/>
        <w:jc w:val="both"/>
        <w:rPr>
          <w:rFonts w:ascii="Arial" w:eastAsia="Calibri" w:hAnsi="Arial" w:cs="Arial"/>
          <w:lang w:eastAsia="en-US"/>
        </w:rPr>
      </w:pPr>
      <w:r w:rsidRPr="008B7BC4">
        <w:rPr>
          <w:rFonts w:ascii="Arial" w:eastAsia="Calibri" w:hAnsi="Arial" w:cs="Arial"/>
          <w:lang w:eastAsia="en-US"/>
        </w:rPr>
        <w:t>Evropská komise dne</w:t>
      </w:r>
      <w:r>
        <w:rPr>
          <w:rFonts w:ascii="Arial" w:eastAsia="Calibri" w:hAnsi="Arial" w:cs="Arial"/>
          <w:lang w:eastAsia="en-US"/>
        </w:rPr>
        <w:t xml:space="preserve"> 26. června</w:t>
      </w:r>
      <w:r w:rsidRPr="008B7BC4">
        <w:rPr>
          <w:rFonts w:ascii="Arial" w:eastAsia="Calibri" w:hAnsi="Arial" w:cs="Arial"/>
          <w:lang w:eastAsia="en-US"/>
        </w:rPr>
        <w:t xml:space="preserve"> zveřejnila konvergenční zprávu za rok 2024, v níž hodnotí, jakého pokroku dosáhly členské státy mimo eurozónu v přípravách na přijetí eura.</w:t>
      </w:r>
      <w:r>
        <w:rPr>
          <w:rFonts w:ascii="Arial" w:eastAsia="Calibri" w:hAnsi="Arial" w:cs="Arial"/>
          <w:lang w:eastAsia="en-US"/>
        </w:rPr>
        <w:t xml:space="preserve"> </w:t>
      </w:r>
      <w:r w:rsidRPr="008B7BC4">
        <w:rPr>
          <w:rFonts w:ascii="Arial" w:eastAsia="Calibri" w:hAnsi="Arial" w:cs="Arial"/>
          <w:lang w:eastAsia="en-US"/>
        </w:rPr>
        <w:t>Zpráva se týká šesti členských států mimo eurozónu, jež mají právní povinnost euro přijmout. Jedná se o Bulharsko, Česko, Maďarsko, Polsko, Rumunsko a Švédsko.</w:t>
      </w:r>
      <w:r>
        <w:rPr>
          <w:rFonts w:ascii="Arial" w:eastAsia="Calibri" w:hAnsi="Arial" w:cs="Arial"/>
          <w:lang w:eastAsia="en-US"/>
        </w:rPr>
        <w:t xml:space="preserve"> </w:t>
      </w:r>
      <w:r w:rsidRPr="008B7BC4">
        <w:rPr>
          <w:rFonts w:ascii="Arial" w:eastAsia="Calibri" w:hAnsi="Arial" w:cs="Arial"/>
          <w:lang w:eastAsia="en-US"/>
        </w:rPr>
        <w:t xml:space="preserve">Zpráva vychází z konvergenčních kritérií, označovaných též jako „maastrichtská kritéria“, která zakotvuje čl. 140 odst. 1 Smlouvy o fungování Evropské unie. Mezi tato konvergenční kritéria </w:t>
      </w:r>
      <w:proofErr w:type="gramStart"/>
      <w:r w:rsidRPr="008B7BC4">
        <w:rPr>
          <w:rFonts w:ascii="Arial" w:eastAsia="Calibri" w:hAnsi="Arial" w:cs="Arial"/>
          <w:lang w:eastAsia="en-US"/>
        </w:rPr>
        <w:t>patří</w:t>
      </w:r>
      <w:proofErr w:type="gramEnd"/>
      <w:r w:rsidRPr="008B7BC4">
        <w:rPr>
          <w:rFonts w:ascii="Arial" w:eastAsia="Calibri" w:hAnsi="Arial" w:cs="Arial"/>
          <w:lang w:eastAsia="en-US"/>
        </w:rPr>
        <w:t xml:space="preserve"> stabilita cen, zdravé veřejné finance, stabilita směnného kurzu a konvergence dlouhodobých úrokových sazeb.</w:t>
      </w:r>
      <w:r>
        <w:rPr>
          <w:rFonts w:ascii="Arial" w:eastAsia="Calibri" w:hAnsi="Arial" w:cs="Arial"/>
          <w:lang w:eastAsia="en-US"/>
        </w:rPr>
        <w:t xml:space="preserve"> Dle zprávy</w:t>
      </w:r>
      <w:r w:rsidRPr="008B7BC4">
        <w:rPr>
          <w:rFonts w:ascii="Arial" w:eastAsia="Calibri" w:hAnsi="Arial" w:cs="Arial"/>
          <w:lang w:eastAsia="en-US"/>
        </w:rPr>
        <w:t xml:space="preserve"> členské státy, jichž se zpráva týká, vykazují nerovnoměrné výsledky, pokud jde o nominální konvergenci. Žádný z těchto členských států v současnosti nesplňuje všechna kritéria pro vstup do eurozóny. Bulharsko je jedinou zemí, která splňuje všechna kritéria kromě jednoho a kde lze vnitrostátní právní předpisy považovat za slučitelné s pravidly hospodářské a měnové unie. </w:t>
      </w:r>
    </w:p>
    <w:p w14:paraId="01046E83" w14:textId="6F774489" w:rsidR="008B7BC4" w:rsidRPr="008B7BC4" w:rsidRDefault="008B7BC4" w:rsidP="008B7BC4">
      <w:pPr>
        <w:pStyle w:val="Normlnweb"/>
        <w:jc w:val="both"/>
        <w:rPr>
          <w:rFonts w:ascii="Arial" w:eastAsia="Calibri" w:hAnsi="Arial" w:cs="Arial"/>
          <w:lang w:eastAsia="en-US"/>
        </w:rPr>
      </w:pPr>
      <w:r>
        <w:rPr>
          <w:rFonts w:ascii="Arial" w:eastAsia="Calibri" w:hAnsi="Arial" w:cs="Arial"/>
          <w:lang w:eastAsia="en-US"/>
        </w:rPr>
        <w:lastRenderedPageBreak/>
        <w:t xml:space="preserve">Konkrétně </w:t>
      </w:r>
      <w:r w:rsidRPr="008B7BC4">
        <w:rPr>
          <w:rFonts w:ascii="Arial" w:eastAsia="Calibri" w:hAnsi="Arial" w:cs="Arial"/>
          <w:lang w:eastAsia="en-US"/>
        </w:rPr>
        <w:t>Švédsko splňuje kritérium cenové stability</w:t>
      </w:r>
      <w:r>
        <w:rPr>
          <w:rFonts w:ascii="Arial" w:eastAsia="Calibri" w:hAnsi="Arial" w:cs="Arial"/>
          <w:lang w:eastAsia="en-US"/>
        </w:rPr>
        <w:t xml:space="preserve">; </w:t>
      </w:r>
      <w:r w:rsidRPr="008B7BC4">
        <w:rPr>
          <w:rFonts w:ascii="Arial" w:eastAsia="Calibri" w:hAnsi="Arial" w:cs="Arial"/>
          <w:lang w:eastAsia="en-US"/>
        </w:rPr>
        <w:t>Bulharsko a Švédsko splňují kritérium týkající se veřejných financí a očekává se, že Česko je splní, a to na základě zprávy Komise podle čl. 126 odst. 3 ze dne 19. června</w:t>
      </w:r>
      <w:r>
        <w:rPr>
          <w:rFonts w:ascii="Arial" w:eastAsia="Calibri" w:hAnsi="Arial" w:cs="Arial"/>
          <w:lang w:eastAsia="en-US"/>
        </w:rPr>
        <w:t xml:space="preserve">; </w:t>
      </w:r>
      <w:r w:rsidRPr="008B7BC4">
        <w:rPr>
          <w:rFonts w:ascii="Arial" w:eastAsia="Calibri" w:hAnsi="Arial" w:cs="Arial"/>
          <w:lang w:eastAsia="en-US"/>
        </w:rPr>
        <w:t>Bulharsko, Česko a Švédsko splňují kritérium dlouhodobých úrokových saze</w:t>
      </w:r>
      <w:r>
        <w:rPr>
          <w:rFonts w:ascii="Arial" w:eastAsia="Calibri" w:hAnsi="Arial" w:cs="Arial"/>
          <w:lang w:eastAsia="en-US"/>
        </w:rPr>
        <w:t xml:space="preserve">b; a </w:t>
      </w:r>
      <w:r w:rsidRPr="008B7BC4">
        <w:rPr>
          <w:rFonts w:ascii="Arial" w:eastAsia="Calibri" w:hAnsi="Arial" w:cs="Arial"/>
          <w:lang w:eastAsia="en-US"/>
        </w:rPr>
        <w:t>Bulharsko splňuje kritérium směnného kurzu. Žádný z ostatních členských států není členem mechanismu směnných kurzů (ERM II), což je před vstupem do eurozóny podmínkou po dobu nejméně dvou let a měna nesmí být po tuto dobu vystavena silným tlakům.</w:t>
      </w:r>
    </w:p>
    <w:p w14:paraId="05773049" w14:textId="4884090E" w:rsidR="008B7BC4" w:rsidRPr="008B7BC4" w:rsidRDefault="00787465" w:rsidP="008B7BC4">
      <w:pPr>
        <w:pStyle w:val="Normlnweb"/>
        <w:jc w:val="both"/>
        <w:rPr>
          <w:rFonts w:ascii="Arial" w:hAnsi="Arial" w:cs="Arial"/>
        </w:rPr>
      </w:pPr>
      <w:r>
        <w:rPr>
          <w:rFonts w:ascii="Arial" w:eastAsia="Calibri" w:hAnsi="Arial" w:cs="Arial"/>
          <w:lang w:eastAsia="en-US"/>
        </w:rPr>
        <w:t xml:space="preserve">Více informací je k dispozici v angličtině zde: </w:t>
      </w:r>
      <w:hyperlink r:id="rId25" w:history="1">
        <w:r w:rsidR="008B7BC4" w:rsidRPr="00730AE7">
          <w:rPr>
            <w:rStyle w:val="Hypertextovodkaz"/>
            <w:rFonts w:ascii="Arial" w:hAnsi="Arial" w:cs="Arial"/>
          </w:rPr>
          <w:t>https://economy-finance.ec.europa.eu/publications/convergence-report-2024_en</w:t>
        </w:r>
      </w:hyperlink>
    </w:p>
    <w:p w14:paraId="420634AB" w14:textId="3C0F566D" w:rsidR="00787465" w:rsidRDefault="005C7F0A" w:rsidP="00B817B2">
      <w:pPr>
        <w:pStyle w:val="Normlnweb"/>
        <w:jc w:val="both"/>
        <w:rPr>
          <w:rFonts w:ascii="Arial" w:eastAsia="Calibri" w:hAnsi="Arial" w:cs="Arial"/>
          <w:b/>
          <w:bCs/>
          <w:color w:val="4472C4" w:themeColor="accent1"/>
          <w:sz w:val="32"/>
          <w:szCs w:val="32"/>
          <w:lang w:eastAsia="en-US"/>
        </w:rPr>
      </w:pPr>
      <w:r>
        <w:rPr>
          <w:rFonts w:cs="Calibri"/>
          <w:noProof/>
        </w:rPr>
        <w:drawing>
          <wp:inline distT="0" distB="0" distL="0" distR="0" wp14:anchorId="40A67AA7" wp14:editId="4DBC3667">
            <wp:extent cx="372110" cy="372110"/>
            <wp:effectExtent l="0" t="0" r="8890" b="8890"/>
            <wp:docPr id="2112442237" name="Obrázek 211244223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00815B4F" w:rsidRPr="00815B4F">
        <w:rPr>
          <w:color w:val="FFFFFF"/>
        </w:rPr>
        <w:t xml:space="preserve"> </w:t>
      </w:r>
      <w:r w:rsidR="00815B4F" w:rsidRPr="00815B4F">
        <w:rPr>
          <w:rFonts w:ascii="Arial" w:eastAsia="Calibri" w:hAnsi="Arial" w:cs="Arial"/>
          <w:b/>
          <w:bCs/>
          <w:color w:val="4472C4" w:themeColor="accent1"/>
          <w:sz w:val="32"/>
          <w:szCs w:val="32"/>
          <w:lang w:eastAsia="en-US"/>
        </w:rPr>
        <w:t>EU přijala 14. balíček sankcí vůči Rusku za pokračující nezákonnou válku proti Ukrajině</w:t>
      </w:r>
    </w:p>
    <w:p w14:paraId="62F99555" w14:textId="2CB031A4" w:rsidR="00815B4F" w:rsidRPr="00815B4F" w:rsidRDefault="00815B4F" w:rsidP="00815B4F">
      <w:pPr>
        <w:pStyle w:val="Normlnweb"/>
        <w:jc w:val="both"/>
        <w:rPr>
          <w:rFonts w:ascii="Arial" w:hAnsi="Arial" w:cs="Arial"/>
        </w:rPr>
      </w:pPr>
      <w:r w:rsidRPr="00815B4F">
        <w:rPr>
          <w:rFonts w:ascii="Arial" w:hAnsi="Arial" w:cs="Arial"/>
        </w:rPr>
        <w:t>Rada přijala</w:t>
      </w:r>
      <w:r>
        <w:rPr>
          <w:rFonts w:ascii="Arial" w:hAnsi="Arial" w:cs="Arial"/>
        </w:rPr>
        <w:t xml:space="preserve"> dne 24. června</w:t>
      </w:r>
      <w:r w:rsidRPr="00815B4F">
        <w:rPr>
          <w:rFonts w:ascii="Arial" w:hAnsi="Arial" w:cs="Arial"/>
        </w:rPr>
        <w:t xml:space="preserve"> 14. balíček sankcí vůči Rusku. </w:t>
      </w:r>
      <w:r>
        <w:rPr>
          <w:rFonts w:ascii="Arial" w:hAnsi="Arial" w:cs="Arial"/>
        </w:rPr>
        <w:t>B</w:t>
      </w:r>
      <w:r w:rsidRPr="00815B4F">
        <w:rPr>
          <w:rFonts w:ascii="Arial" w:hAnsi="Arial" w:cs="Arial"/>
        </w:rPr>
        <w:t xml:space="preserve">alíček reaguje na potřeby a zjištění z praxe a </w:t>
      </w:r>
      <w:proofErr w:type="gramStart"/>
      <w:r w:rsidRPr="00815B4F">
        <w:rPr>
          <w:rFonts w:ascii="Arial" w:hAnsi="Arial" w:cs="Arial"/>
        </w:rPr>
        <w:t>řeší</w:t>
      </w:r>
      <w:proofErr w:type="gramEnd"/>
      <w:r w:rsidRPr="00815B4F">
        <w:rPr>
          <w:rFonts w:ascii="Arial" w:hAnsi="Arial" w:cs="Arial"/>
        </w:rPr>
        <w:t xml:space="preserve"> problémy týkající se prosazování sankcí. Balíček obsahuje nová opatření související s energetikou, která se zaměřují na zkapalněný zemní plyn (LNG), a opatření zaměřená na plavidla, jež ruskou válku podporují. </w:t>
      </w:r>
      <w:r>
        <w:rPr>
          <w:rFonts w:ascii="Arial" w:hAnsi="Arial" w:cs="Arial"/>
        </w:rPr>
        <w:t xml:space="preserve"> </w:t>
      </w:r>
      <w:r w:rsidRPr="00815B4F">
        <w:rPr>
          <w:rFonts w:ascii="Arial" w:hAnsi="Arial" w:cs="Arial"/>
        </w:rPr>
        <w:t xml:space="preserve">Balíček navíc doplňuje na seznam nové položky, které se týkají osob a subjektů odpovědných za činnosti narušující nebo ohrožující územní celistvost, svrchovanost a nezávislost Ukrajiny. </w:t>
      </w:r>
      <w:r>
        <w:rPr>
          <w:rFonts w:ascii="Arial" w:hAnsi="Arial" w:cs="Arial"/>
        </w:rPr>
        <w:t>Balíček</w:t>
      </w:r>
      <w:r w:rsidRPr="00815B4F">
        <w:rPr>
          <w:rFonts w:ascii="Arial" w:hAnsi="Arial" w:cs="Arial"/>
        </w:rPr>
        <w:t xml:space="preserve"> bankám EU mimo Rusko zakazuje používat systém pro předávání finančních zpráv SPFS, který je ruským ekvivalentem systému SWIFT. </w:t>
      </w:r>
      <w:r>
        <w:rPr>
          <w:rFonts w:ascii="Arial" w:hAnsi="Arial" w:cs="Arial"/>
        </w:rPr>
        <w:t>B</w:t>
      </w:r>
      <w:r w:rsidRPr="00815B4F">
        <w:rPr>
          <w:rFonts w:ascii="Arial" w:hAnsi="Arial" w:cs="Arial"/>
        </w:rPr>
        <w:t>ank</w:t>
      </w:r>
      <w:r>
        <w:rPr>
          <w:rFonts w:ascii="Arial" w:hAnsi="Arial" w:cs="Arial"/>
        </w:rPr>
        <w:t>ám</w:t>
      </w:r>
      <w:r w:rsidRPr="00815B4F">
        <w:rPr>
          <w:rFonts w:ascii="Arial" w:hAnsi="Arial" w:cs="Arial"/>
        </w:rPr>
        <w:t xml:space="preserve"> ze třetích zemí mimo Rusko, které jsou do tohoto systému zapojeny bude zakázáno obchodovat s hospodářskými subjekty z EU. Poslední částí balíčku je zákaz transakcí s bankami a poskytovateli </w:t>
      </w:r>
      <w:proofErr w:type="spellStart"/>
      <w:r w:rsidRPr="00815B4F">
        <w:rPr>
          <w:rFonts w:ascii="Arial" w:hAnsi="Arial" w:cs="Arial"/>
        </w:rPr>
        <w:t>kryptoaktiv</w:t>
      </w:r>
      <w:proofErr w:type="spellEnd"/>
      <w:r w:rsidRPr="00815B4F">
        <w:rPr>
          <w:rFonts w:ascii="Arial" w:hAnsi="Arial" w:cs="Arial"/>
        </w:rPr>
        <w:t xml:space="preserve"> v Rusku a ve třetích zemích, kteří zprostředkovávají transakce na podporu ruské obranné a průmyslové základny. </w:t>
      </w:r>
    </w:p>
    <w:p w14:paraId="32FC02EA" w14:textId="19AD53A9" w:rsidR="00815B4F" w:rsidRPr="00815B4F" w:rsidRDefault="00815B4F" w:rsidP="00815B4F">
      <w:pPr>
        <w:pStyle w:val="Normlnweb"/>
        <w:jc w:val="both"/>
        <w:rPr>
          <w:rFonts w:ascii="Arial" w:hAnsi="Arial" w:cs="Arial"/>
        </w:rPr>
      </w:pPr>
      <w:r w:rsidRPr="00815B4F">
        <w:rPr>
          <w:rFonts w:ascii="Arial" w:hAnsi="Arial" w:cs="Arial"/>
        </w:rPr>
        <w:t>Balíček omezuje vývoz devíti dalších položek dvojího užití a pokročilých technologií</w:t>
      </w:r>
      <w:r>
        <w:rPr>
          <w:rFonts w:ascii="Arial" w:hAnsi="Arial" w:cs="Arial"/>
        </w:rPr>
        <w:t xml:space="preserve">, </w:t>
      </w:r>
      <w:r w:rsidRPr="00815B4F">
        <w:rPr>
          <w:rFonts w:ascii="Arial" w:hAnsi="Arial" w:cs="Arial"/>
        </w:rPr>
        <w:t>rozšiřuje zákaz vývozu některých typů průmyslových výrobků, chemických látek, plastů, dílů vozidel a strojního zboží</w:t>
      </w:r>
      <w:r>
        <w:rPr>
          <w:rFonts w:ascii="Arial" w:hAnsi="Arial" w:cs="Arial"/>
        </w:rPr>
        <w:t xml:space="preserve">. </w:t>
      </w:r>
      <w:r w:rsidRPr="00815B4F">
        <w:rPr>
          <w:rFonts w:ascii="Arial" w:hAnsi="Arial" w:cs="Arial"/>
        </w:rPr>
        <w:t>Aby se Rusku ještě více znemožnil přístup ke zboží a technologiím, které podléhají omezením, obsahuje tento balíček několik opatření, jejichž cílem je podnítit soukromý sektor k dodržování předpisů, podpořit příslušné vnitrostátní orgány při jejich prosazování a zabránit obcházení sankcí, a to mimo jiné průběžnou kontrolou zahraničních dceřiných společností hospodářských subjektů EU.</w:t>
      </w:r>
      <w:r>
        <w:rPr>
          <w:rFonts w:ascii="Arial" w:hAnsi="Arial" w:cs="Arial"/>
        </w:rPr>
        <w:t xml:space="preserve"> </w:t>
      </w:r>
      <w:r w:rsidRPr="00815B4F">
        <w:rPr>
          <w:rFonts w:ascii="Arial" w:hAnsi="Arial" w:cs="Arial"/>
        </w:rPr>
        <w:t>Kromě toho balíček zahrnuje konkrétní iniciativy</w:t>
      </w:r>
      <w:r>
        <w:rPr>
          <w:rFonts w:ascii="Arial" w:hAnsi="Arial" w:cs="Arial"/>
        </w:rPr>
        <w:t xml:space="preserve"> na ochranu</w:t>
      </w:r>
      <w:r w:rsidRPr="00815B4F">
        <w:rPr>
          <w:rFonts w:ascii="Arial" w:hAnsi="Arial" w:cs="Arial"/>
        </w:rPr>
        <w:t xml:space="preserve"> hospodářsk</w:t>
      </w:r>
      <w:r>
        <w:rPr>
          <w:rFonts w:ascii="Arial" w:hAnsi="Arial" w:cs="Arial"/>
        </w:rPr>
        <w:t>ých</w:t>
      </w:r>
      <w:r w:rsidRPr="00815B4F">
        <w:rPr>
          <w:rFonts w:ascii="Arial" w:hAnsi="Arial" w:cs="Arial"/>
        </w:rPr>
        <w:t xml:space="preserve"> subjekt</w:t>
      </w:r>
      <w:r>
        <w:rPr>
          <w:rFonts w:ascii="Arial" w:hAnsi="Arial" w:cs="Arial"/>
        </w:rPr>
        <w:t>ů</w:t>
      </w:r>
      <w:r w:rsidRPr="00815B4F">
        <w:rPr>
          <w:rFonts w:ascii="Arial" w:hAnsi="Arial" w:cs="Arial"/>
        </w:rPr>
        <w:t xml:space="preserve"> EU před vyvlastněním </w:t>
      </w:r>
      <w:r>
        <w:rPr>
          <w:rFonts w:ascii="Arial" w:hAnsi="Arial" w:cs="Arial"/>
        </w:rPr>
        <w:t>a</w:t>
      </w:r>
      <w:r w:rsidRPr="00815B4F">
        <w:rPr>
          <w:rFonts w:ascii="Arial" w:hAnsi="Arial" w:cs="Arial"/>
        </w:rPr>
        <w:t xml:space="preserve"> další</w:t>
      </w:r>
      <w:r>
        <w:rPr>
          <w:rFonts w:ascii="Arial" w:hAnsi="Arial" w:cs="Arial"/>
        </w:rPr>
        <w:t>mi</w:t>
      </w:r>
      <w:r w:rsidRPr="00815B4F">
        <w:rPr>
          <w:rFonts w:ascii="Arial" w:hAnsi="Arial" w:cs="Arial"/>
        </w:rPr>
        <w:t xml:space="preserve"> kroky ruského státu, včetně krádeží duševního vlastnictví.</w:t>
      </w:r>
    </w:p>
    <w:p w14:paraId="2AC5D4B9" w14:textId="7B08EEB7" w:rsidR="00815B4F" w:rsidRPr="00815B4F" w:rsidRDefault="00815B4F" w:rsidP="00815B4F">
      <w:pPr>
        <w:pStyle w:val="Normlnweb"/>
        <w:jc w:val="both"/>
        <w:rPr>
          <w:rFonts w:ascii="Arial" w:hAnsi="Arial" w:cs="Arial"/>
        </w:rPr>
      </w:pPr>
      <w:r w:rsidRPr="00815B4F">
        <w:rPr>
          <w:rFonts w:ascii="Arial" w:hAnsi="Arial" w:cs="Arial"/>
        </w:rPr>
        <w:t xml:space="preserve">Nový balíček mimoto zahrnuje opatření, která chrání naše demokratické procesy a bojují proti ruskému vměšování, jako je zákaz </w:t>
      </w:r>
      <w:r>
        <w:rPr>
          <w:rFonts w:ascii="Arial" w:hAnsi="Arial" w:cs="Arial"/>
        </w:rPr>
        <w:t xml:space="preserve">financování politických subjektů z ruských zdrojů. </w:t>
      </w:r>
    </w:p>
    <w:p w14:paraId="1E293DF9" w14:textId="0BAFDB84" w:rsidR="00A771B6" w:rsidRPr="00815B4F" w:rsidRDefault="00815B4F" w:rsidP="006D6452">
      <w:pPr>
        <w:pStyle w:val="Normlnweb"/>
        <w:jc w:val="both"/>
        <w:rPr>
          <w:rFonts w:ascii="Arial" w:eastAsia="Calibri" w:hAnsi="Arial" w:cs="Arial"/>
          <w:lang w:eastAsia="en-US"/>
        </w:rPr>
      </w:pPr>
      <w:r>
        <w:rPr>
          <w:rFonts w:ascii="Arial" w:eastAsia="Calibri" w:hAnsi="Arial" w:cs="Arial"/>
          <w:lang w:eastAsia="en-US"/>
        </w:rPr>
        <w:t>Více informací je k dispozici v angličtině</w:t>
      </w:r>
      <w:r w:rsidR="00A771B6">
        <w:rPr>
          <w:rFonts w:ascii="Arial" w:eastAsia="Calibri" w:hAnsi="Arial" w:cs="Arial"/>
          <w:lang w:eastAsia="en-US"/>
        </w:rPr>
        <w:t xml:space="preserve"> zde: </w:t>
      </w:r>
      <w:hyperlink r:id="rId26" w:history="1">
        <w:r w:rsidR="00A771B6" w:rsidRPr="00815B4F">
          <w:rPr>
            <w:rStyle w:val="Hypertextovodkaz"/>
            <w:rFonts w:ascii="Arial" w:eastAsia="Calibri" w:hAnsi="Arial" w:cs="Arial"/>
            <w:lang w:eastAsia="en-US"/>
          </w:rPr>
          <w:t>https://www.europarl.europa.eu/doceo/document/TA-9-2024-04-10-TOC_EN.html</w:t>
        </w:r>
      </w:hyperlink>
    </w:p>
    <w:p w14:paraId="3415F87D" w14:textId="04E721E5" w:rsidR="00A771B6" w:rsidRDefault="00B202C2" w:rsidP="006D6452">
      <w:pPr>
        <w:pStyle w:val="Normlnweb"/>
        <w:jc w:val="both"/>
        <w:rPr>
          <w:rFonts w:ascii="Arial" w:eastAsia="Calibri" w:hAnsi="Arial" w:cs="Arial"/>
          <w:b/>
          <w:bCs/>
          <w:color w:val="4472C4" w:themeColor="accent1"/>
          <w:sz w:val="32"/>
          <w:szCs w:val="32"/>
          <w:lang w:eastAsia="en-US"/>
        </w:rPr>
      </w:pPr>
      <w:r>
        <w:rPr>
          <w:rFonts w:cs="Calibri"/>
          <w:noProof/>
        </w:rPr>
        <w:drawing>
          <wp:inline distT="0" distB="0" distL="0" distR="0" wp14:anchorId="6CF2E7F9" wp14:editId="3DBA2D80">
            <wp:extent cx="372110" cy="372110"/>
            <wp:effectExtent l="0" t="0" r="8890" b="8890"/>
            <wp:docPr id="1825030711" name="Obrázek 18250307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B202C2">
        <w:rPr>
          <w:rFonts w:ascii="Arial" w:eastAsia="Calibri" w:hAnsi="Arial" w:cs="Arial"/>
          <w:b/>
          <w:bCs/>
          <w:color w:val="4472C4" w:themeColor="accent1"/>
          <w:sz w:val="32"/>
          <w:szCs w:val="32"/>
          <w:lang w:eastAsia="en-US"/>
        </w:rPr>
        <w:t>Rada zveřejnila zprávu o celounijních opatřeních v boji proti trestné činnosti</w:t>
      </w:r>
    </w:p>
    <w:p w14:paraId="25AB5F65" w14:textId="298B9269" w:rsidR="00B202C2" w:rsidRPr="00B202C2" w:rsidRDefault="00B202C2" w:rsidP="00B202C2">
      <w:pPr>
        <w:pStyle w:val="Normlnweb"/>
        <w:jc w:val="both"/>
        <w:rPr>
          <w:rFonts w:ascii="Arial" w:hAnsi="Arial" w:cs="Arial"/>
        </w:rPr>
      </w:pPr>
      <w:r w:rsidRPr="00B202C2">
        <w:rPr>
          <w:rFonts w:ascii="Arial" w:hAnsi="Arial" w:cs="Arial"/>
        </w:rPr>
        <w:t xml:space="preserve">Rada </w:t>
      </w:r>
      <w:r>
        <w:rPr>
          <w:rFonts w:ascii="Arial" w:hAnsi="Arial" w:cs="Arial"/>
        </w:rPr>
        <w:t xml:space="preserve">dne 19. června </w:t>
      </w:r>
      <w:r w:rsidRPr="00B202C2">
        <w:rPr>
          <w:rFonts w:ascii="Arial" w:hAnsi="Arial" w:cs="Arial"/>
        </w:rPr>
        <w:t>zveřejnila výsledky stěžejního nástroje EU v boji proti organizované trestné činnosti – EMPACT</w:t>
      </w:r>
      <w:r>
        <w:rPr>
          <w:rFonts w:ascii="Arial" w:hAnsi="Arial" w:cs="Arial"/>
        </w:rPr>
        <w:t>, což</w:t>
      </w:r>
      <w:r w:rsidRPr="00B202C2">
        <w:rPr>
          <w:rFonts w:ascii="Arial" w:hAnsi="Arial" w:cs="Arial"/>
        </w:rPr>
        <w:t xml:space="preserve"> je zkratka pro evropskou multidisciplinární platformu pro boj proti hrozbám vyplývajícím z trestné činnosti. Zajišťuje integrovaný přístup k vnitřní bezpečnosti EU zahrnující opatření od </w:t>
      </w:r>
      <w:r w:rsidRPr="00B202C2">
        <w:rPr>
          <w:rFonts w:ascii="Arial" w:hAnsi="Arial" w:cs="Arial"/>
        </w:rPr>
        <w:lastRenderedPageBreak/>
        <w:t>vyšetřování, kontrol na vnějších hranicích přes policii, celní orgány a justiční spolupráci až po správu informací, inovace, odbornou přípravu, prevenci a vnější rozměr vnitřní bezpečnosti, jakož i případná partnerství veřejného a soukromého sektoru.</w:t>
      </w:r>
      <w:r>
        <w:rPr>
          <w:rFonts w:ascii="Arial" w:hAnsi="Arial" w:cs="Arial"/>
        </w:rPr>
        <w:t xml:space="preserve"> </w:t>
      </w:r>
      <w:r w:rsidRPr="00B202C2">
        <w:rPr>
          <w:rFonts w:ascii="Arial" w:hAnsi="Arial" w:cs="Arial"/>
        </w:rPr>
        <w:t>V roce 2021 se Rada dohodla na 10 prioritách EU a 15 operačních akčních plánech pro boj proti trestné činnosti, jimž se má EMPACT v období let 2022 až 2025 věnovat a které pokrývají problematiku od sexuálního vykořisťování dětí a převaděčství migrantů až po obchodování s drogami a trestnou činnost proti životnímu prostředí.</w:t>
      </w:r>
    </w:p>
    <w:p w14:paraId="158BAE95" w14:textId="3A777EDB" w:rsidR="00B202C2" w:rsidRPr="00B202C2" w:rsidRDefault="00B202C2" w:rsidP="00B202C2">
      <w:pPr>
        <w:pStyle w:val="Normlnweb"/>
        <w:jc w:val="both"/>
        <w:rPr>
          <w:rFonts w:ascii="Arial" w:hAnsi="Arial" w:cs="Arial"/>
        </w:rPr>
      </w:pPr>
      <w:r>
        <w:rPr>
          <w:rFonts w:ascii="Arial" w:hAnsi="Arial" w:cs="Arial"/>
        </w:rPr>
        <w:t xml:space="preserve"> </w:t>
      </w:r>
      <w:r w:rsidRPr="00B202C2">
        <w:rPr>
          <w:rFonts w:ascii="Arial" w:hAnsi="Arial" w:cs="Arial"/>
        </w:rPr>
        <w:t>Policejní operace pod hlavičkou EMPACT vedly v roce 2023 k zatčení 13 871 osob. Díky společnému celounijnímu prosazování práva a justičním opatřením prostřednictvím EMPACT bylo:</w:t>
      </w:r>
      <w:r>
        <w:rPr>
          <w:rFonts w:ascii="Arial" w:hAnsi="Arial" w:cs="Arial"/>
        </w:rPr>
        <w:t xml:space="preserve"> </w:t>
      </w:r>
      <w:r w:rsidRPr="00B202C2">
        <w:rPr>
          <w:rFonts w:ascii="Arial" w:hAnsi="Arial" w:cs="Arial"/>
        </w:rPr>
        <w:t>zajištěno více než 797 milionů eur</w:t>
      </w:r>
      <w:r>
        <w:rPr>
          <w:rFonts w:ascii="Arial" w:hAnsi="Arial" w:cs="Arial"/>
        </w:rPr>
        <w:t xml:space="preserve">; </w:t>
      </w:r>
      <w:r w:rsidRPr="00B202C2">
        <w:rPr>
          <w:rFonts w:ascii="Arial" w:hAnsi="Arial" w:cs="Arial"/>
        </w:rPr>
        <w:t>zachyceno více než 197 tun drog</w:t>
      </w:r>
      <w:r>
        <w:rPr>
          <w:rFonts w:ascii="Arial" w:hAnsi="Arial" w:cs="Arial"/>
        </w:rPr>
        <w:t xml:space="preserve">; </w:t>
      </w:r>
      <w:r w:rsidRPr="00B202C2">
        <w:rPr>
          <w:rFonts w:ascii="Arial" w:hAnsi="Arial" w:cs="Arial"/>
        </w:rPr>
        <w:t>zahájeno 15 644 stíhání</w:t>
      </w:r>
      <w:r>
        <w:rPr>
          <w:rFonts w:ascii="Arial" w:hAnsi="Arial" w:cs="Arial"/>
        </w:rPr>
        <w:t xml:space="preserve">; </w:t>
      </w:r>
      <w:r w:rsidRPr="00B202C2">
        <w:rPr>
          <w:rFonts w:ascii="Arial" w:hAnsi="Arial" w:cs="Arial"/>
        </w:rPr>
        <w:t>zadrženo 6 801 převaděčů migrantů</w:t>
      </w:r>
      <w:r>
        <w:rPr>
          <w:rFonts w:ascii="Arial" w:hAnsi="Arial" w:cs="Arial"/>
        </w:rPr>
        <w:t xml:space="preserve">; </w:t>
      </w:r>
      <w:r w:rsidRPr="00B202C2">
        <w:rPr>
          <w:rFonts w:ascii="Arial" w:hAnsi="Arial" w:cs="Arial"/>
        </w:rPr>
        <w:t>identifikováno 7 500 obětí obchodování s</w:t>
      </w:r>
      <w:r>
        <w:rPr>
          <w:rFonts w:ascii="Arial" w:hAnsi="Arial" w:cs="Arial"/>
        </w:rPr>
        <w:t> </w:t>
      </w:r>
      <w:r w:rsidRPr="00B202C2">
        <w:rPr>
          <w:rFonts w:ascii="Arial" w:hAnsi="Arial" w:cs="Arial"/>
        </w:rPr>
        <w:t>lidmi</w:t>
      </w:r>
      <w:r>
        <w:rPr>
          <w:rFonts w:ascii="Arial" w:hAnsi="Arial" w:cs="Arial"/>
        </w:rPr>
        <w:t>.</w:t>
      </w:r>
    </w:p>
    <w:p w14:paraId="66AA19AA" w14:textId="26A77988" w:rsidR="007949DE" w:rsidRPr="007949DE" w:rsidRDefault="00B202C2" w:rsidP="006D6452">
      <w:pPr>
        <w:pStyle w:val="Normlnweb"/>
        <w:jc w:val="both"/>
        <w:rPr>
          <w:rFonts w:ascii="Arial" w:hAnsi="Arial" w:cs="Arial"/>
        </w:rPr>
      </w:pPr>
      <w:r>
        <w:rPr>
          <w:rFonts w:ascii="Arial" w:hAnsi="Arial" w:cs="Arial"/>
        </w:rPr>
        <w:t xml:space="preserve">Více informací </w:t>
      </w:r>
      <w:r w:rsidR="007949DE">
        <w:rPr>
          <w:rFonts w:ascii="Arial" w:hAnsi="Arial" w:cs="Arial"/>
        </w:rPr>
        <w:t xml:space="preserve">je k dispozici v angličtině zde: </w:t>
      </w:r>
      <w:hyperlink r:id="rId27" w:history="1">
        <w:r w:rsidR="007949DE" w:rsidRPr="00730AE7">
          <w:rPr>
            <w:rStyle w:val="Hypertextovodkaz"/>
            <w:rFonts w:ascii="Arial" w:hAnsi="Arial" w:cs="Arial"/>
          </w:rPr>
          <w:t>https://www.consilium.europa.eu/media/siolrhsj/empact-factsheets-2023.pdf</w:t>
        </w:r>
      </w:hyperlink>
    </w:p>
    <w:p w14:paraId="44577317" w14:textId="2E2678F9" w:rsidR="00873E81" w:rsidRPr="00873E81" w:rsidRDefault="001C5777" w:rsidP="00873E81">
      <w:pPr>
        <w:rPr>
          <w:rFonts w:ascii="Arial" w:hAnsi="Arial" w:cs="Arial"/>
          <w:b/>
          <w:bCs/>
          <w:color w:val="4472C4" w:themeColor="accent1"/>
          <w:sz w:val="32"/>
          <w:szCs w:val="32"/>
        </w:rPr>
      </w:pPr>
      <w:r>
        <w:rPr>
          <w:rFonts w:cs="Calibri"/>
          <w:noProof/>
          <w:sz w:val="24"/>
          <w:szCs w:val="24"/>
        </w:rPr>
        <w:drawing>
          <wp:inline distT="0" distB="0" distL="0" distR="0" wp14:anchorId="3258B483" wp14:editId="1011C535">
            <wp:extent cx="372110" cy="372110"/>
            <wp:effectExtent l="0" t="0" r="8890" b="8890"/>
            <wp:docPr id="412427368" name="Obrázek 412427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873E81" w:rsidRPr="00873E81">
        <w:rPr>
          <w:rFonts w:ascii="Arial" w:hAnsi="Arial" w:cs="Arial"/>
          <w:b/>
          <w:bCs/>
          <w:color w:val="4472C4" w:themeColor="accent1"/>
          <w:sz w:val="32"/>
          <w:szCs w:val="32"/>
        </w:rPr>
        <w:t>Jarní balíček evropského semestru</w:t>
      </w:r>
      <w:r w:rsidR="00873E81">
        <w:rPr>
          <w:rFonts w:ascii="Arial" w:hAnsi="Arial" w:cs="Arial"/>
          <w:b/>
          <w:bCs/>
          <w:color w:val="4472C4" w:themeColor="accent1"/>
          <w:sz w:val="32"/>
          <w:szCs w:val="32"/>
        </w:rPr>
        <w:t xml:space="preserve"> – doporučení pro členské státy</w:t>
      </w:r>
    </w:p>
    <w:p w14:paraId="584E3A3B" w14:textId="0E21BBA5" w:rsidR="00873E81" w:rsidRPr="00873E81" w:rsidRDefault="00873E81" w:rsidP="00873E81">
      <w:pPr>
        <w:shd w:val="clear" w:color="auto" w:fill="FFFFFF"/>
        <w:spacing w:line="240" w:lineRule="auto"/>
        <w:jc w:val="both"/>
        <w:outlineLvl w:val="0"/>
        <w:rPr>
          <w:rFonts w:ascii="Arial" w:hAnsi="Arial" w:cs="Arial"/>
          <w:sz w:val="24"/>
          <w:szCs w:val="24"/>
        </w:rPr>
      </w:pPr>
      <w:r w:rsidRPr="00873E81">
        <w:rPr>
          <w:rFonts w:ascii="Arial" w:hAnsi="Arial" w:cs="Arial"/>
          <w:sz w:val="24"/>
          <w:szCs w:val="24"/>
        </w:rPr>
        <w:t>Komise dne</w:t>
      </w:r>
      <w:r>
        <w:rPr>
          <w:rFonts w:ascii="Arial" w:hAnsi="Arial" w:cs="Arial"/>
          <w:sz w:val="24"/>
          <w:szCs w:val="24"/>
        </w:rPr>
        <w:t xml:space="preserve"> 19. června</w:t>
      </w:r>
      <w:r w:rsidRPr="00873E81">
        <w:rPr>
          <w:rFonts w:ascii="Arial" w:hAnsi="Arial" w:cs="Arial"/>
          <w:sz w:val="24"/>
          <w:szCs w:val="24"/>
        </w:rPr>
        <w:t xml:space="preserve"> </w:t>
      </w:r>
      <w:r>
        <w:rPr>
          <w:rFonts w:ascii="Arial" w:hAnsi="Arial" w:cs="Arial"/>
          <w:sz w:val="24"/>
          <w:szCs w:val="24"/>
        </w:rPr>
        <w:t>zveřejnila</w:t>
      </w:r>
      <w:r w:rsidRPr="00873E81">
        <w:rPr>
          <w:rFonts w:ascii="Arial" w:hAnsi="Arial" w:cs="Arial"/>
          <w:sz w:val="24"/>
          <w:szCs w:val="24"/>
        </w:rPr>
        <w:t xml:space="preserve"> jarní balíč</w:t>
      </w:r>
      <w:r>
        <w:rPr>
          <w:rFonts w:ascii="Arial" w:hAnsi="Arial" w:cs="Arial"/>
          <w:sz w:val="24"/>
          <w:szCs w:val="24"/>
        </w:rPr>
        <w:t>ek</w:t>
      </w:r>
      <w:r w:rsidRPr="00873E81">
        <w:rPr>
          <w:rFonts w:ascii="Arial" w:hAnsi="Arial" w:cs="Arial"/>
          <w:sz w:val="24"/>
          <w:szCs w:val="24"/>
        </w:rPr>
        <w:t xml:space="preserve"> evropského semestru 2024</w:t>
      </w:r>
      <w:r>
        <w:rPr>
          <w:rFonts w:ascii="Arial" w:hAnsi="Arial" w:cs="Arial"/>
          <w:sz w:val="24"/>
          <w:szCs w:val="24"/>
        </w:rPr>
        <w:t>, jež obsahuje</w:t>
      </w:r>
      <w:r w:rsidRPr="00873E81">
        <w:rPr>
          <w:rFonts w:ascii="Arial" w:hAnsi="Arial" w:cs="Arial"/>
          <w:sz w:val="24"/>
          <w:szCs w:val="24"/>
        </w:rPr>
        <w:t xml:space="preserve"> pokyny zaměřené na vybudování odolné a konkurenceschopné evropské ekonomiky</w:t>
      </w:r>
      <w:r>
        <w:rPr>
          <w:rFonts w:ascii="Arial" w:hAnsi="Arial" w:cs="Arial"/>
          <w:sz w:val="24"/>
          <w:szCs w:val="24"/>
        </w:rPr>
        <w:t>. E</w:t>
      </w:r>
      <w:r w:rsidRPr="00873E81">
        <w:rPr>
          <w:rFonts w:ascii="Arial" w:hAnsi="Arial" w:cs="Arial"/>
          <w:sz w:val="24"/>
          <w:szCs w:val="24"/>
        </w:rPr>
        <w:t xml:space="preserve">vropský semestr, který zahrnuje provádění </w:t>
      </w:r>
      <w:proofErr w:type="spellStart"/>
      <w:r w:rsidRPr="00873E81">
        <w:rPr>
          <w:rFonts w:ascii="Arial" w:hAnsi="Arial" w:cs="Arial"/>
          <w:sz w:val="24"/>
          <w:szCs w:val="24"/>
        </w:rPr>
        <w:t>NextGenerationEU</w:t>
      </w:r>
      <w:proofErr w:type="spellEnd"/>
      <w:r w:rsidRPr="00873E81">
        <w:rPr>
          <w:rFonts w:ascii="Arial" w:hAnsi="Arial" w:cs="Arial"/>
          <w:sz w:val="24"/>
          <w:szCs w:val="24"/>
        </w:rPr>
        <w:t>, včetně Nástroje pro oživení a odolnost (RRF), a programů politiky soudržnosti</w:t>
      </w:r>
      <w:r>
        <w:rPr>
          <w:rFonts w:ascii="Arial" w:hAnsi="Arial" w:cs="Arial"/>
          <w:sz w:val="24"/>
          <w:szCs w:val="24"/>
        </w:rPr>
        <w:t>,</w:t>
      </w:r>
      <w:r w:rsidRPr="00873E81">
        <w:rPr>
          <w:rFonts w:ascii="Arial" w:hAnsi="Arial" w:cs="Arial"/>
          <w:sz w:val="24"/>
          <w:szCs w:val="24"/>
        </w:rPr>
        <w:t xml:space="preserve"> zajišťuje aktualizované zprávy o pokroku při plnění cílů udržitelného rozvoje a určuje investiční priority pro nadcházející přezkum politiky soudržnosti v polovině období.</w:t>
      </w:r>
    </w:p>
    <w:p w14:paraId="00CBB921" w14:textId="77777777" w:rsidR="00873E81" w:rsidRDefault="00873E81" w:rsidP="00873E81">
      <w:pPr>
        <w:shd w:val="clear" w:color="auto" w:fill="FFFFFF"/>
        <w:spacing w:line="240" w:lineRule="auto"/>
        <w:jc w:val="both"/>
        <w:outlineLvl w:val="0"/>
        <w:rPr>
          <w:rFonts w:ascii="Arial" w:hAnsi="Arial" w:cs="Arial"/>
          <w:sz w:val="24"/>
          <w:szCs w:val="24"/>
        </w:rPr>
      </w:pPr>
      <w:r>
        <w:rPr>
          <w:rFonts w:ascii="Arial" w:hAnsi="Arial" w:cs="Arial"/>
          <w:sz w:val="24"/>
          <w:szCs w:val="24"/>
        </w:rPr>
        <w:t>Pokud jde o Česko, Komise doporučuje v</w:t>
      </w:r>
      <w:r w:rsidRPr="00873E81">
        <w:rPr>
          <w:rFonts w:ascii="Arial" w:hAnsi="Arial" w:cs="Arial"/>
          <w:sz w:val="24"/>
          <w:szCs w:val="24"/>
        </w:rPr>
        <w:t xml:space="preserve">čas předložit střednědobý fiskálně-strukturální plán. V souladu s požadavky reformovaného Paktu o stabilitě a růstu omezit růst čistých výdajů v roce 2025 na míru, která je v souladu se zachováním schodku veřejných financí pod referenční hodnotou 3 % HDP stanovenou ve Smlouvě a udržením veřejného dluhu na obezřetné úrovni ve střednědobém horizontu. </w:t>
      </w:r>
      <w:r>
        <w:rPr>
          <w:rFonts w:ascii="Arial" w:hAnsi="Arial" w:cs="Arial"/>
          <w:sz w:val="24"/>
          <w:szCs w:val="24"/>
        </w:rPr>
        <w:t>Dále Česku ukládá p</w:t>
      </w:r>
      <w:r w:rsidRPr="00873E81">
        <w:rPr>
          <w:rFonts w:ascii="Arial" w:hAnsi="Arial" w:cs="Arial"/>
          <w:sz w:val="24"/>
          <w:szCs w:val="24"/>
        </w:rPr>
        <w:t>řijmout opatření k zajištění dlouhodobé fiskální udržitelnosti důchodového systému</w:t>
      </w:r>
      <w:r>
        <w:rPr>
          <w:rFonts w:ascii="Arial" w:hAnsi="Arial" w:cs="Arial"/>
          <w:sz w:val="24"/>
          <w:szCs w:val="24"/>
        </w:rPr>
        <w:t>; o</w:t>
      </w:r>
      <w:r w:rsidRPr="00873E81">
        <w:rPr>
          <w:rFonts w:ascii="Arial" w:hAnsi="Arial" w:cs="Arial"/>
          <w:sz w:val="24"/>
          <w:szCs w:val="24"/>
        </w:rPr>
        <w:t>mezit faktory v oblasti daní a dávek, které odrazují rodiče od návratu do zaměstnání, s cílem podpořit vyšší účast žen na trhu práce</w:t>
      </w:r>
      <w:r>
        <w:rPr>
          <w:rFonts w:ascii="Arial" w:hAnsi="Arial" w:cs="Arial"/>
          <w:sz w:val="24"/>
          <w:szCs w:val="24"/>
        </w:rPr>
        <w:t>; z</w:t>
      </w:r>
      <w:r w:rsidRPr="00873E81">
        <w:rPr>
          <w:rFonts w:ascii="Arial" w:hAnsi="Arial" w:cs="Arial"/>
          <w:sz w:val="24"/>
          <w:szCs w:val="24"/>
        </w:rPr>
        <w:t>lepšit pobídky, které motivují osoby v předdůchodovém věku, aby dále pracovaly</w:t>
      </w:r>
      <w:r>
        <w:rPr>
          <w:rFonts w:ascii="Arial" w:hAnsi="Arial" w:cs="Arial"/>
          <w:sz w:val="24"/>
          <w:szCs w:val="24"/>
        </w:rPr>
        <w:t>; p</w:t>
      </w:r>
      <w:r w:rsidRPr="00873E81">
        <w:rPr>
          <w:rFonts w:ascii="Arial" w:hAnsi="Arial" w:cs="Arial"/>
          <w:sz w:val="24"/>
          <w:szCs w:val="24"/>
        </w:rPr>
        <w:t>odniknout kroky ke zvýšení příjmů z periodických daní z</w:t>
      </w:r>
      <w:r>
        <w:rPr>
          <w:rFonts w:ascii="Arial" w:hAnsi="Arial" w:cs="Arial"/>
          <w:sz w:val="24"/>
          <w:szCs w:val="24"/>
        </w:rPr>
        <w:t> </w:t>
      </w:r>
      <w:r w:rsidRPr="00873E81">
        <w:rPr>
          <w:rFonts w:ascii="Arial" w:hAnsi="Arial" w:cs="Arial"/>
          <w:sz w:val="24"/>
          <w:szCs w:val="24"/>
        </w:rPr>
        <w:t>nemovitostí</w:t>
      </w:r>
      <w:r>
        <w:rPr>
          <w:rFonts w:ascii="Arial" w:hAnsi="Arial" w:cs="Arial"/>
          <w:sz w:val="24"/>
          <w:szCs w:val="24"/>
        </w:rPr>
        <w:t>; p</w:t>
      </w:r>
      <w:r w:rsidRPr="00873E81">
        <w:rPr>
          <w:rFonts w:ascii="Arial" w:hAnsi="Arial" w:cs="Arial"/>
          <w:sz w:val="24"/>
          <w:szCs w:val="24"/>
        </w:rPr>
        <w:t xml:space="preserve">osílit správní kapacitu pro správu plánu pro oživení a odolnost, urychlit investice a udržet dynamiku provádění reforem. </w:t>
      </w:r>
    </w:p>
    <w:p w14:paraId="2F393556" w14:textId="4D812A56" w:rsidR="00873E81" w:rsidRDefault="00873E81" w:rsidP="00873E81">
      <w:pPr>
        <w:shd w:val="clear" w:color="auto" w:fill="FFFFFF"/>
        <w:spacing w:line="240" w:lineRule="auto"/>
        <w:jc w:val="both"/>
        <w:outlineLvl w:val="0"/>
        <w:rPr>
          <w:rFonts w:ascii="Arial" w:hAnsi="Arial" w:cs="Arial"/>
          <w:sz w:val="24"/>
          <w:szCs w:val="24"/>
        </w:rPr>
      </w:pPr>
      <w:r>
        <w:rPr>
          <w:rFonts w:ascii="Arial" w:hAnsi="Arial" w:cs="Arial"/>
          <w:sz w:val="24"/>
          <w:szCs w:val="24"/>
        </w:rPr>
        <w:t>Česko dále musí ř</w:t>
      </w:r>
      <w:r w:rsidRPr="00873E81">
        <w:rPr>
          <w:rFonts w:ascii="Arial" w:hAnsi="Arial" w:cs="Arial"/>
          <w:sz w:val="24"/>
          <w:szCs w:val="24"/>
        </w:rPr>
        <w:t xml:space="preserve">ešit vznikající zpoždění a tím umožnit průběžnou, rychlou a účinnou realizaci plánu pro oživení a odolnost, včetně kapitoly </w:t>
      </w:r>
      <w:proofErr w:type="spellStart"/>
      <w:r w:rsidRPr="00873E81">
        <w:rPr>
          <w:rFonts w:ascii="Arial" w:hAnsi="Arial" w:cs="Arial"/>
          <w:sz w:val="24"/>
          <w:szCs w:val="24"/>
        </w:rPr>
        <w:t>REPowerEU</w:t>
      </w:r>
      <w:proofErr w:type="spellEnd"/>
      <w:r w:rsidRPr="00873E81">
        <w:rPr>
          <w:rFonts w:ascii="Arial" w:hAnsi="Arial" w:cs="Arial"/>
          <w:sz w:val="24"/>
          <w:szCs w:val="24"/>
        </w:rPr>
        <w:t>, která zajistí dokončení reforem a investic do srpna 2026</w:t>
      </w:r>
      <w:r>
        <w:rPr>
          <w:rFonts w:ascii="Arial" w:hAnsi="Arial" w:cs="Arial"/>
          <w:sz w:val="24"/>
          <w:szCs w:val="24"/>
        </w:rPr>
        <w:t xml:space="preserve"> a ur</w:t>
      </w:r>
      <w:r w:rsidRPr="00873E81">
        <w:rPr>
          <w:rFonts w:ascii="Arial" w:hAnsi="Arial" w:cs="Arial"/>
          <w:sz w:val="24"/>
          <w:szCs w:val="24"/>
        </w:rPr>
        <w:t xml:space="preserve">ychlit provádění programů v rámci politiky soudržnosti. </w:t>
      </w:r>
      <w:r>
        <w:rPr>
          <w:rFonts w:ascii="Arial" w:hAnsi="Arial" w:cs="Arial"/>
          <w:sz w:val="24"/>
          <w:szCs w:val="24"/>
        </w:rPr>
        <w:t>Je rovněž potřeba p</w:t>
      </w:r>
      <w:r w:rsidRPr="00873E81">
        <w:rPr>
          <w:rFonts w:ascii="Arial" w:hAnsi="Arial" w:cs="Arial"/>
          <w:sz w:val="24"/>
          <w:szCs w:val="24"/>
        </w:rPr>
        <w:t>osílit schopnost české veřejné správy přilákat, udržet si a rozvíjet talenty, zejména pokud jde o analytické, manažerské a IT dovednosti</w:t>
      </w:r>
      <w:r>
        <w:rPr>
          <w:rFonts w:ascii="Arial" w:hAnsi="Arial" w:cs="Arial"/>
          <w:sz w:val="24"/>
          <w:szCs w:val="24"/>
        </w:rPr>
        <w:t>; o</w:t>
      </w:r>
      <w:r w:rsidRPr="00873E81">
        <w:rPr>
          <w:rFonts w:ascii="Arial" w:hAnsi="Arial" w:cs="Arial"/>
          <w:sz w:val="24"/>
          <w:szCs w:val="24"/>
        </w:rPr>
        <w:t xml:space="preserve">mezit </w:t>
      </w:r>
      <w:proofErr w:type="spellStart"/>
      <w:r w:rsidRPr="00873E81">
        <w:rPr>
          <w:rFonts w:ascii="Arial" w:hAnsi="Arial" w:cs="Arial"/>
          <w:sz w:val="24"/>
          <w:szCs w:val="24"/>
        </w:rPr>
        <w:t>departmentalismus</w:t>
      </w:r>
      <w:proofErr w:type="spellEnd"/>
      <w:r w:rsidRPr="00873E81">
        <w:rPr>
          <w:rFonts w:ascii="Arial" w:hAnsi="Arial" w:cs="Arial"/>
          <w:sz w:val="24"/>
          <w:szCs w:val="24"/>
        </w:rPr>
        <w:t xml:space="preserve"> a posílit strategické řídicí kapacity, aby se zlepšila soudržnost napříč politikami</w:t>
      </w:r>
      <w:r>
        <w:rPr>
          <w:rFonts w:ascii="Arial" w:hAnsi="Arial" w:cs="Arial"/>
          <w:sz w:val="24"/>
          <w:szCs w:val="24"/>
        </w:rPr>
        <w:t>; p</w:t>
      </w:r>
      <w:r w:rsidRPr="00873E81">
        <w:rPr>
          <w:rFonts w:ascii="Arial" w:hAnsi="Arial" w:cs="Arial"/>
          <w:sz w:val="24"/>
          <w:szCs w:val="24"/>
        </w:rPr>
        <w:t>odporovat spolupráci mezi obecními správami, mimo jiné poskytováním podpory na budování správních kapacit se zaměřením na strukturálně postižené regiony</w:t>
      </w:r>
      <w:r>
        <w:rPr>
          <w:rFonts w:ascii="Arial" w:hAnsi="Arial" w:cs="Arial"/>
          <w:sz w:val="24"/>
          <w:szCs w:val="24"/>
        </w:rPr>
        <w:t>; p</w:t>
      </w:r>
      <w:r w:rsidRPr="00873E81">
        <w:rPr>
          <w:rFonts w:ascii="Arial" w:hAnsi="Arial" w:cs="Arial"/>
          <w:sz w:val="24"/>
          <w:szCs w:val="24"/>
        </w:rPr>
        <w:t xml:space="preserve">odpořit inovace zlepšením transferu technologií z akademické obce do podniků, podporou vytváření odštěpených společností a </w:t>
      </w:r>
      <w:r w:rsidRPr="00873E81">
        <w:rPr>
          <w:rFonts w:ascii="Arial" w:hAnsi="Arial" w:cs="Arial"/>
          <w:sz w:val="24"/>
          <w:szCs w:val="24"/>
        </w:rPr>
        <w:lastRenderedPageBreak/>
        <w:t>začínajících podniků a zvýšením účasti na terciárním vzděláván</w:t>
      </w:r>
      <w:r>
        <w:rPr>
          <w:rFonts w:ascii="Arial" w:hAnsi="Arial" w:cs="Arial"/>
          <w:sz w:val="24"/>
          <w:szCs w:val="24"/>
        </w:rPr>
        <w:t>í; a p</w:t>
      </w:r>
      <w:r w:rsidRPr="00873E81">
        <w:rPr>
          <w:rFonts w:ascii="Arial" w:hAnsi="Arial" w:cs="Arial"/>
          <w:sz w:val="24"/>
          <w:szCs w:val="24"/>
        </w:rPr>
        <w:t>osílit konkurenceschopnost ekonomiky řešením nesouladu mezi nabízenými a požadovanými dovednostmi, zjednodušením uznávání zahraničních kvalifikací a zvýšením účasti nedostatečně zastoupených skupin.</w:t>
      </w:r>
    </w:p>
    <w:p w14:paraId="5582A865" w14:textId="033540A1" w:rsidR="00622F50" w:rsidRDefault="00622F50" w:rsidP="00873E81">
      <w:pPr>
        <w:shd w:val="clear" w:color="auto" w:fill="FFFFFF"/>
        <w:spacing w:line="240" w:lineRule="auto"/>
        <w:jc w:val="both"/>
        <w:outlineLvl w:val="0"/>
        <w:rPr>
          <w:rFonts w:ascii="Arial" w:hAnsi="Arial" w:cs="Arial"/>
          <w:sz w:val="24"/>
          <w:szCs w:val="24"/>
        </w:rPr>
      </w:pPr>
      <w:r>
        <w:rPr>
          <w:rFonts w:ascii="Arial" w:hAnsi="Arial" w:cs="Arial"/>
          <w:sz w:val="24"/>
          <w:szCs w:val="24"/>
        </w:rPr>
        <w:t>Všechny dokumenty k evropskému semestru jsou k dispozici</w:t>
      </w:r>
      <w:r w:rsidR="000C488E">
        <w:rPr>
          <w:rFonts w:ascii="Arial" w:hAnsi="Arial" w:cs="Arial"/>
          <w:sz w:val="24"/>
          <w:szCs w:val="24"/>
        </w:rPr>
        <w:t xml:space="preserve"> zde: </w:t>
      </w:r>
      <w:hyperlink r:id="rId28" w:history="1">
        <w:r w:rsidRPr="00622F50">
          <w:rPr>
            <w:rStyle w:val="Hypertextovodkaz"/>
            <w:rFonts w:ascii="Arial" w:hAnsi="Arial" w:cs="Arial"/>
            <w:sz w:val="24"/>
            <w:szCs w:val="24"/>
          </w:rPr>
          <w:t>https://commission.europa.eu/publications/2024-european-semester-country-specific-recommendations-commission-recommendations_en</w:t>
        </w:r>
      </w:hyperlink>
    </w:p>
    <w:p w14:paraId="5E1EB15D" w14:textId="215EDB01" w:rsidR="00B202C2" w:rsidRDefault="00B202C2" w:rsidP="00873E81">
      <w:pPr>
        <w:shd w:val="clear" w:color="auto" w:fill="FFFFFF"/>
        <w:spacing w:line="240" w:lineRule="auto"/>
        <w:jc w:val="both"/>
        <w:outlineLvl w:val="0"/>
        <w:rPr>
          <w:rFonts w:ascii="Arial" w:hAnsi="Arial" w:cs="Arial"/>
          <w:b/>
          <w:bCs/>
          <w:color w:val="4472C4" w:themeColor="accent1"/>
          <w:sz w:val="32"/>
          <w:szCs w:val="32"/>
        </w:rPr>
      </w:pPr>
      <w:r>
        <w:rPr>
          <w:rFonts w:cs="Calibri"/>
          <w:noProof/>
          <w:sz w:val="24"/>
          <w:szCs w:val="24"/>
        </w:rPr>
        <w:drawing>
          <wp:inline distT="0" distB="0" distL="0" distR="0" wp14:anchorId="4DB48241" wp14:editId="20F5E144">
            <wp:extent cx="372110" cy="372110"/>
            <wp:effectExtent l="0" t="0" r="8890" b="8890"/>
            <wp:docPr id="240819465" name="Obrázek 24081946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B202C2">
        <w:rPr>
          <w:rFonts w:ascii="Arial" w:hAnsi="Arial" w:cs="Arial"/>
          <w:b/>
          <w:bCs/>
          <w:color w:val="4472C4" w:themeColor="accent1"/>
          <w:sz w:val="32"/>
          <w:szCs w:val="32"/>
        </w:rPr>
        <w:t>Postoj Rady EU k návrhu směrnice o boji proti korupci</w:t>
      </w:r>
    </w:p>
    <w:p w14:paraId="64462216" w14:textId="3BE5C7F3" w:rsidR="00B202C2" w:rsidRPr="00B202C2" w:rsidRDefault="00B202C2" w:rsidP="00B202C2">
      <w:pPr>
        <w:shd w:val="clear" w:color="auto" w:fill="FFFFFF"/>
        <w:spacing w:line="240" w:lineRule="auto"/>
        <w:jc w:val="both"/>
        <w:outlineLvl w:val="0"/>
        <w:rPr>
          <w:rFonts w:ascii="Arial" w:hAnsi="Arial" w:cs="Arial"/>
          <w:sz w:val="24"/>
          <w:szCs w:val="24"/>
        </w:rPr>
      </w:pPr>
      <w:r>
        <w:rPr>
          <w:rFonts w:ascii="Arial" w:hAnsi="Arial" w:cs="Arial"/>
          <w:sz w:val="24"/>
          <w:szCs w:val="24"/>
        </w:rPr>
        <w:t>Rada EU schválila dne 14. června svůj postoj k návrhu směrnice k boji proti korupci. Směrnice</w:t>
      </w:r>
      <w:r w:rsidRPr="00B202C2">
        <w:rPr>
          <w:rFonts w:ascii="Arial" w:hAnsi="Arial" w:cs="Arial"/>
          <w:sz w:val="24"/>
          <w:szCs w:val="24"/>
        </w:rPr>
        <w:t xml:space="preserve"> nahradí dva samostatné právní předpisy EU – předpis z roku 2003 o korupci v soukromém sektoru a úmluvu EU z roku 1997 o korupci úředníků EU nebo úředníků členských států EU. Rovněž se jím mění směrnice z roku 2017 o podvodech a jiných trestných činech poškozujících finanční zájmy EU.</w:t>
      </w:r>
      <w:r>
        <w:rPr>
          <w:rFonts w:ascii="Arial" w:hAnsi="Arial" w:cs="Arial"/>
          <w:sz w:val="24"/>
          <w:szCs w:val="24"/>
        </w:rPr>
        <w:t xml:space="preserve"> Směrnice zavádí povinnost členských států</w:t>
      </w:r>
      <w:r w:rsidRPr="00B202C2">
        <w:rPr>
          <w:rFonts w:ascii="Arial" w:hAnsi="Arial" w:cs="Arial"/>
          <w:sz w:val="24"/>
          <w:szCs w:val="24"/>
        </w:rPr>
        <w:t xml:space="preserve"> EU trestně stíhat stejné korupční jednání a definovat je stejným způsobem.</w:t>
      </w:r>
      <w:r>
        <w:rPr>
          <w:rFonts w:ascii="Arial" w:hAnsi="Arial" w:cs="Arial"/>
          <w:sz w:val="24"/>
          <w:szCs w:val="24"/>
        </w:rPr>
        <w:t xml:space="preserve"> Konkrétně harmonizuje TČ </w:t>
      </w:r>
      <w:r w:rsidRPr="00B202C2">
        <w:rPr>
          <w:rFonts w:ascii="Arial" w:hAnsi="Arial" w:cs="Arial"/>
          <w:sz w:val="24"/>
          <w:szCs w:val="24"/>
        </w:rPr>
        <w:t>úplatkářství ve veřejném a soukromém sektoru, zpronevěr</w:t>
      </w:r>
      <w:r>
        <w:rPr>
          <w:rFonts w:ascii="Arial" w:hAnsi="Arial" w:cs="Arial"/>
          <w:sz w:val="24"/>
          <w:szCs w:val="24"/>
        </w:rPr>
        <w:t>u</w:t>
      </w:r>
      <w:r w:rsidRPr="00B202C2">
        <w:rPr>
          <w:rFonts w:ascii="Arial" w:hAnsi="Arial" w:cs="Arial"/>
          <w:sz w:val="24"/>
          <w:szCs w:val="24"/>
        </w:rPr>
        <w:t>, nepřímé úplatkářství, maření spravedlnosti a obohacení z trestných činů korupce.</w:t>
      </w:r>
    </w:p>
    <w:p w14:paraId="5F8A851D" w14:textId="6FB3EB75" w:rsidR="00B202C2" w:rsidRPr="00B202C2" w:rsidRDefault="00B202C2" w:rsidP="00B202C2">
      <w:pPr>
        <w:shd w:val="clear" w:color="auto" w:fill="FFFFFF"/>
        <w:spacing w:line="240" w:lineRule="auto"/>
        <w:jc w:val="both"/>
        <w:outlineLvl w:val="0"/>
        <w:rPr>
          <w:rFonts w:ascii="Arial" w:hAnsi="Arial" w:cs="Arial"/>
          <w:sz w:val="24"/>
          <w:szCs w:val="24"/>
        </w:rPr>
      </w:pPr>
      <w:r w:rsidRPr="00B202C2">
        <w:rPr>
          <w:rFonts w:ascii="Arial" w:hAnsi="Arial" w:cs="Arial"/>
          <w:sz w:val="24"/>
          <w:szCs w:val="24"/>
        </w:rPr>
        <w:t>Za činy, které budou nově podle tohoto unijního předpisu protiprávní, bude možné v závislosti na konkrétním činu uložit trest odnětí svobody s horní hranicí trestní sazby nejméně dva až čtyři roky. Osobám odsouzeným za trestné činy korupce bude možné uložit další sankce, jako jsou pokuty, odvolání z veřejné funkce, zbavení způsobilosti k zastávání veřejné funkce nebo výkonu úkolů veřejné služby, odejmutí povolení a zákaz přístupu k nabídkovým řízením a veřejnému financování.</w:t>
      </w:r>
      <w:r>
        <w:rPr>
          <w:rFonts w:ascii="Arial" w:hAnsi="Arial" w:cs="Arial"/>
          <w:sz w:val="24"/>
          <w:szCs w:val="24"/>
        </w:rPr>
        <w:t xml:space="preserve"> </w:t>
      </w:r>
      <w:r w:rsidRPr="00B202C2">
        <w:rPr>
          <w:rFonts w:ascii="Arial" w:hAnsi="Arial" w:cs="Arial"/>
          <w:sz w:val="24"/>
          <w:szCs w:val="24"/>
        </w:rPr>
        <w:t>Právnickým osobám (tj. společnostem) bude také možné v závislosti na konkrétním činu uložit sankce v podobě pokut v rozmezí nejméně 3 % až 5 % jejich celkového celosvětového obratu nebo nejméně 24 nebo 40 milionů eur.</w:t>
      </w:r>
    </w:p>
    <w:p w14:paraId="77453121" w14:textId="34DB2546" w:rsidR="00B202C2" w:rsidRDefault="00B202C2" w:rsidP="00B202C2">
      <w:pPr>
        <w:shd w:val="clear" w:color="auto" w:fill="FFFFFF"/>
        <w:spacing w:line="240" w:lineRule="auto"/>
        <w:jc w:val="both"/>
        <w:outlineLvl w:val="0"/>
        <w:rPr>
          <w:rFonts w:ascii="Arial" w:hAnsi="Arial" w:cs="Arial"/>
          <w:sz w:val="24"/>
          <w:szCs w:val="24"/>
        </w:rPr>
      </w:pPr>
      <w:r w:rsidRPr="00B202C2">
        <w:rPr>
          <w:rFonts w:ascii="Arial" w:hAnsi="Arial" w:cs="Arial"/>
          <w:sz w:val="24"/>
          <w:szCs w:val="24"/>
        </w:rPr>
        <w:t>Členské státy mají soudní příslušnost pro trestné činy spáchané na jejich území, pokud je pachatel jejich státním příslušníkem. Členské státy se mohou navíc rozhodnout rozšířit svou soudní příslušnost na činy spáchané mimo jejich území, pokud má pachatel obvyklé bydliště na jejich území, trestný čin je spáchán proti osobě, která je jeho státním příslušníkem nebo má v tomto členském státě obvyklé bydliště, trestný čin je spáchán ve prospěch právnické osoby usazené na jeho území nebo je</w:t>
      </w:r>
      <w:r w:rsidR="00BB38FD">
        <w:rPr>
          <w:rFonts w:ascii="Arial" w:hAnsi="Arial" w:cs="Arial"/>
          <w:sz w:val="24"/>
          <w:szCs w:val="24"/>
        </w:rPr>
        <w:t>-</w:t>
      </w:r>
      <w:r w:rsidRPr="00B202C2">
        <w:rPr>
          <w:rFonts w:ascii="Arial" w:hAnsi="Arial" w:cs="Arial"/>
          <w:sz w:val="24"/>
          <w:szCs w:val="24"/>
        </w:rPr>
        <w:t>li trestný čin spáchán ve prospěch právnické osoby v souvislosti s jakoukoli podnikatelskou činností, která je zcela nebo zčásti prováděna na území daného státu.</w:t>
      </w:r>
      <w:r>
        <w:rPr>
          <w:rFonts w:ascii="Arial" w:hAnsi="Arial" w:cs="Arial"/>
          <w:sz w:val="24"/>
          <w:szCs w:val="24"/>
        </w:rPr>
        <w:t xml:space="preserve"> </w:t>
      </w:r>
      <w:r w:rsidRPr="00B202C2">
        <w:rPr>
          <w:rFonts w:ascii="Arial" w:hAnsi="Arial" w:cs="Arial"/>
          <w:sz w:val="24"/>
          <w:szCs w:val="24"/>
        </w:rPr>
        <w:t>Všech 27 států bude muset zřídit orgány, které budou pověřeny předcházením korupci a jejím potlačováním. Tyto orgány (či jednotky) musí fungovat bez nepatřičných zásahů a musí mít k dispozici dostatečný počet kvalifikovaných pracovníků a finanční zdroje.</w:t>
      </w:r>
    </w:p>
    <w:p w14:paraId="4328E3F7" w14:textId="12BE4117" w:rsidR="00B202C2" w:rsidRDefault="00B202C2" w:rsidP="00B202C2">
      <w:pPr>
        <w:shd w:val="clear" w:color="auto" w:fill="FFFFFF"/>
        <w:spacing w:line="240" w:lineRule="auto"/>
        <w:jc w:val="both"/>
        <w:outlineLvl w:val="0"/>
        <w:rPr>
          <w:rStyle w:val="Hypertextovodkaz"/>
          <w:rFonts w:ascii="Arial" w:hAnsi="Arial" w:cs="Arial"/>
          <w:sz w:val="24"/>
          <w:szCs w:val="24"/>
        </w:rPr>
      </w:pPr>
      <w:r>
        <w:rPr>
          <w:rFonts w:ascii="Arial" w:hAnsi="Arial" w:cs="Arial"/>
          <w:sz w:val="24"/>
          <w:szCs w:val="24"/>
        </w:rPr>
        <w:t xml:space="preserve">Více informací je k dispozici v češtině zde: </w:t>
      </w:r>
      <w:hyperlink r:id="rId29" w:history="1">
        <w:r w:rsidRPr="00730AE7">
          <w:rPr>
            <w:rStyle w:val="Hypertextovodkaz"/>
            <w:rFonts w:ascii="Arial" w:hAnsi="Arial" w:cs="Arial"/>
            <w:sz w:val="24"/>
            <w:szCs w:val="24"/>
          </w:rPr>
          <w:t>https://data.consilium.europa.eu/doc/document/ST-10247-2024-INIT/cs/pdf</w:t>
        </w:r>
      </w:hyperlink>
    </w:p>
    <w:p w14:paraId="4F3BAC78" w14:textId="77777777" w:rsidR="00BB38FD" w:rsidRPr="00B202C2" w:rsidRDefault="00BB38FD" w:rsidP="00B202C2">
      <w:pPr>
        <w:shd w:val="clear" w:color="auto" w:fill="FFFFFF"/>
        <w:spacing w:line="240" w:lineRule="auto"/>
        <w:jc w:val="both"/>
        <w:outlineLvl w:val="0"/>
        <w:rPr>
          <w:rFonts w:ascii="Arial" w:hAnsi="Arial" w:cs="Arial"/>
          <w:sz w:val="24"/>
          <w:szCs w:val="24"/>
        </w:rPr>
      </w:pPr>
    </w:p>
    <w:p w14:paraId="772E4C6C" w14:textId="0E07C1AC" w:rsidR="006B15B6" w:rsidRDefault="006B15B6" w:rsidP="00DA0CC1">
      <w:pPr>
        <w:shd w:val="clear" w:color="auto" w:fill="FFFFFF"/>
        <w:jc w:val="both"/>
        <w:rPr>
          <w:rFonts w:ascii="Arial" w:hAnsi="Arial" w:cs="Arial"/>
          <w:b/>
          <w:bCs/>
          <w:color w:val="4472C4" w:themeColor="accent1"/>
          <w:sz w:val="32"/>
          <w:szCs w:val="32"/>
        </w:rPr>
      </w:pPr>
      <w:r>
        <w:rPr>
          <w:rFonts w:cs="Calibri"/>
          <w:noProof/>
          <w:sz w:val="24"/>
          <w:szCs w:val="24"/>
        </w:rPr>
        <w:lastRenderedPageBreak/>
        <w:drawing>
          <wp:inline distT="0" distB="0" distL="0" distR="0" wp14:anchorId="3DD428B2" wp14:editId="0F2A0896">
            <wp:extent cx="372110" cy="372110"/>
            <wp:effectExtent l="0" t="0" r="8890" b="8890"/>
            <wp:docPr id="1074883806" name="Obrázek 107488380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00DA0CC1" w:rsidRPr="00DA0CC1">
        <w:rPr>
          <w:color w:val="FFFFFF"/>
        </w:rPr>
        <w:t xml:space="preserve"> </w:t>
      </w:r>
      <w:r w:rsidR="00DA0CC1" w:rsidRPr="00DA0CC1">
        <w:rPr>
          <w:rFonts w:ascii="Arial" w:hAnsi="Arial" w:cs="Arial"/>
          <w:b/>
          <w:bCs/>
          <w:color w:val="4472C4" w:themeColor="accent1"/>
          <w:sz w:val="32"/>
          <w:szCs w:val="32"/>
        </w:rPr>
        <w:t>Výroční zpráva EU dokládá pokračující narušování základních svobod v Hongkongu</w:t>
      </w:r>
    </w:p>
    <w:p w14:paraId="69DFFEA7" w14:textId="0A657202" w:rsidR="00DA0CC1" w:rsidRPr="00DA0CC1" w:rsidRDefault="00DA0CC1" w:rsidP="00DA0CC1">
      <w:pPr>
        <w:shd w:val="clear" w:color="auto" w:fill="FFFFFF"/>
        <w:spacing w:line="240" w:lineRule="auto"/>
        <w:jc w:val="both"/>
        <w:outlineLvl w:val="0"/>
        <w:rPr>
          <w:rFonts w:ascii="Arial" w:hAnsi="Arial" w:cs="Arial"/>
          <w:sz w:val="24"/>
          <w:szCs w:val="24"/>
        </w:rPr>
      </w:pPr>
      <w:r w:rsidRPr="00DA0CC1">
        <w:rPr>
          <w:rFonts w:ascii="Arial" w:hAnsi="Arial" w:cs="Arial"/>
          <w:sz w:val="24"/>
          <w:szCs w:val="24"/>
        </w:rPr>
        <w:t>Evropská komise a vysoký představitel pro zahraniční věci a bezpečnostní politiku dne</w:t>
      </w:r>
      <w:r>
        <w:rPr>
          <w:rFonts w:ascii="Arial" w:hAnsi="Arial" w:cs="Arial"/>
          <w:sz w:val="24"/>
          <w:szCs w:val="24"/>
        </w:rPr>
        <w:t xml:space="preserve"> 13. června</w:t>
      </w:r>
      <w:r w:rsidRPr="00DA0CC1">
        <w:rPr>
          <w:rFonts w:ascii="Arial" w:hAnsi="Arial" w:cs="Arial"/>
          <w:sz w:val="24"/>
          <w:szCs w:val="24"/>
        </w:rPr>
        <w:t xml:space="preserve"> přijali 26. výroční zprávu o politickém a hospodářském vývoji </w:t>
      </w:r>
      <w:r>
        <w:rPr>
          <w:rFonts w:ascii="Arial" w:hAnsi="Arial" w:cs="Arial"/>
          <w:sz w:val="24"/>
          <w:szCs w:val="24"/>
        </w:rPr>
        <w:t>v</w:t>
      </w:r>
      <w:r w:rsidRPr="00DA0CC1">
        <w:rPr>
          <w:rFonts w:ascii="Arial" w:hAnsi="Arial" w:cs="Arial"/>
          <w:sz w:val="24"/>
          <w:szCs w:val="24"/>
        </w:rPr>
        <w:t xml:space="preserve"> Hongkong</w:t>
      </w:r>
      <w:r>
        <w:rPr>
          <w:rFonts w:ascii="Arial" w:hAnsi="Arial" w:cs="Arial"/>
          <w:sz w:val="24"/>
          <w:szCs w:val="24"/>
        </w:rPr>
        <w:t>u</w:t>
      </w:r>
      <w:r w:rsidRPr="00DA0CC1">
        <w:rPr>
          <w:rFonts w:ascii="Arial" w:hAnsi="Arial" w:cs="Arial"/>
          <w:sz w:val="24"/>
          <w:szCs w:val="24"/>
        </w:rPr>
        <w:t>. Tato zpráva je určena Evropskému parlamentu a Radě a zabývá se vývojem v roce 2023.</w:t>
      </w:r>
      <w:r>
        <w:rPr>
          <w:rFonts w:ascii="Arial" w:hAnsi="Arial" w:cs="Arial"/>
          <w:sz w:val="24"/>
          <w:szCs w:val="24"/>
        </w:rPr>
        <w:t xml:space="preserve"> </w:t>
      </w:r>
      <w:r w:rsidRPr="00DA0CC1">
        <w:rPr>
          <w:rFonts w:ascii="Arial" w:hAnsi="Arial" w:cs="Arial"/>
          <w:sz w:val="24"/>
          <w:szCs w:val="24"/>
        </w:rPr>
        <w:t>Reforma systému voleb do okresních rad přijatá 6. července drasticky snížila počet členů těchto rad, kteří jsou voleni přímo, na méně než jednu pětinu. Podle novelizovaného zákona musí kandidáti projít rozsáhlou prověrkou. Podmínky nakonec nesplnil ani jeden prodemokratický kandidát. Opozičním stranám se nepodařilo uspořádat fundraisingové akce. </w:t>
      </w:r>
      <w:bookmarkStart w:id="2" w:name="_Hlk168905427"/>
      <w:bookmarkEnd w:id="2"/>
      <w:r w:rsidRPr="00DA0CC1">
        <w:rPr>
          <w:rFonts w:ascii="Arial" w:hAnsi="Arial" w:cs="Arial"/>
          <w:sz w:val="24"/>
          <w:szCs w:val="24"/>
        </w:rPr>
        <w:t>Volby do okresních rad, které se konaly 10. prosince, zaznamenaly historicky nízkou volební účast.</w:t>
      </w:r>
      <w:r>
        <w:rPr>
          <w:rFonts w:ascii="Arial" w:hAnsi="Arial" w:cs="Arial"/>
          <w:sz w:val="24"/>
          <w:szCs w:val="24"/>
        </w:rPr>
        <w:t xml:space="preserve"> </w:t>
      </w:r>
      <w:r w:rsidRPr="00DA0CC1">
        <w:rPr>
          <w:rFonts w:ascii="Arial" w:hAnsi="Arial" w:cs="Arial"/>
          <w:sz w:val="24"/>
          <w:szCs w:val="24"/>
        </w:rPr>
        <w:t xml:space="preserve">Zákon o národní bezpečnosti byl poprvé uplatněn </w:t>
      </w:r>
      <w:proofErr w:type="spellStart"/>
      <w:r w:rsidRPr="00DA0CC1">
        <w:rPr>
          <w:rFonts w:ascii="Arial" w:hAnsi="Arial" w:cs="Arial"/>
          <w:sz w:val="24"/>
          <w:szCs w:val="24"/>
        </w:rPr>
        <w:t>extrateritoriálně</w:t>
      </w:r>
      <w:proofErr w:type="spellEnd"/>
      <w:r w:rsidRPr="00DA0CC1">
        <w:rPr>
          <w:rFonts w:ascii="Arial" w:hAnsi="Arial" w:cs="Arial"/>
          <w:sz w:val="24"/>
          <w:szCs w:val="24"/>
        </w:rPr>
        <w:t xml:space="preserve">. Pokračovaly soudní procesy s prodemokratickými aktivisty, politiky a zastánci demokracie zahájené podle zákona o národní bezpečnosti a souvisejících právních předpisů. </w:t>
      </w:r>
      <w:r>
        <w:rPr>
          <w:rFonts w:ascii="Arial" w:hAnsi="Arial" w:cs="Arial"/>
          <w:sz w:val="24"/>
          <w:szCs w:val="24"/>
        </w:rPr>
        <w:t xml:space="preserve"> </w:t>
      </w:r>
      <w:r w:rsidRPr="00DA0CC1">
        <w:rPr>
          <w:rFonts w:ascii="Arial" w:hAnsi="Arial" w:cs="Arial"/>
          <w:sz w:val="24"/>
          <w:szCs w:val="24"/>
        </w:rPr>
        <w:t>Výroční zpráva zdůrazňuje významné obchodní vazby mezi Evropskou unií a Hongkongem. Se svými 1 550 společnostmi zůstává EU největší zahraniční obchodní komunitou. </w:t>
      </w:r>
      <w:bookmarkStart w:id="3" w:name="_Hlk168905451"/>
      <w:bookmarkEnd w:id="3"/>
      <w:r w:rsidRPr="00DA0CC1">
        <w:rPr>
          <w:rFonts w:ascii="Arial" w:hAnsi="Arial" w:cs="Arial"/>
          <w:sz w:val="24"/>
          <w:szCs w:val="24"/>
        </w:rPr>
        <w:t>EU byla v roce 2023 třetím největším obchodním partnerem Hongkongu po pevninské Číně a Tchaj-wanu.</w:t>
      </w:r>
    </w:p>
    <w:p w14:paraId="281274F4" w14:textId="671D7AD9" w:rsidR="00DA0CC1" w:rsidRDefault="006B15B6" w:rsidP="006B15B6">
      <w:pPr>
        <w:shd w:val="clear" w:color="auto" w:fill="FFFFFF"/>
        <w:spacing w:line="240" w:lineRule="auto"/>
        <w:jc w:val="both"/>
        <w:outlineLvl w:val="0"/>
        <w:rPr>
          <w:rFonts w:ascii="Arial" w:hAnsi="Arial" w:cs="Arial"/>
          <w:sz w:val="24"/>
          <w:szCs w:val="24"/>
        </w:rPr>
      </w:pPr>
      <w:r>
        <w:rPr>
          <w:rFonts w:ascii="Arial" w:hAnsi="Arial" w:cs="Arial"/>
          <w:sz w:val="24"/>
          <w:szCs w:val="24"/>
        </w:rPr>
        <w:t xml:space="preserve">Více informací je k dispozici v angličtině zde: </w:t>
      </w:r>
      <w:hyperlink r:id="rId30" w:history="1">
        <w:r w:rsidR="00DA0CC1" w:rsidRPr="00DA0CC1">
          <w:rPr>
            <w:rStyle w:val="Hypertextovodkaz"/>
            <w:rFonts w:ascii="Arial" w:hAnsi="Arial" w:cs="Arial"/>
            <w:sz w:val="24"/>
            <w:szCs w:val="24"/>
          </w:rPr>
          <w:t>https://www.eeas.europa.eu/eeas/hong-kong-annual-eu-report-political-and-economic-developments-2023_en</w:t>
        </w:r>
      </w:hyperlink>
    </w:p>
    <w:p w14:paraId="34E4CD0A" w14:textId="3F289319" w:rsidR="00342409" w:rsidRPr="00342409" w:rsidRDefault="00342409" w:rsidP="006B15B6">
      <w:pPr>
        <w:shd w:val="clear" w:color="auto" w:fill="FFFFFF"/>
        <w:spacing w:line="240" w:lineRule="auto"/>
        <w:jc w:val="both"/>
        <w:outlineLvl w:val="0"/>
        <w:rPr>
          <w:rFonts w:ascii="Arial" w:hAnsi="Arial" w:cs="Arial"/>
          <w:b/>
          <w:bCs/>
          <w:color w:val="4472C4" w:themeColor="accent1"/>
          <w:sz w:val="32"/>
          <w:szCs w:val="32"/>
        </w:rPr>
      </w:pPr>
      <w:r w:rsidRPr="00342409">
        <w:rPr>
          <w:rFonts w:ascii="Arial" w:hAnsi="Arial" w:cs="Arial"/>
          <w:b/>
          <w:bCs/>
          <w:noProof/>
          <w:color w:val="4472C4" w:themeColor="accent1"/>
          <w:sz w:val="32"/>
          <w:szCs w:val="32"/>
        </w:rPr>
        <w:drawing>
          <wp:inline distT="0" distB="0" distL="0" distR="0" wp14:anchorId="74CD219B" wp14:editId="7C8F3ABB">
            <wp:extent cx="372110" cy="372110"/>
            <wp:effectExtent l="0" t="0" r="8890" b="8890"/>
            <wp:docPr id="585760551" name="Obrázek 58576055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342409">
        <w:rPr>
          <w:rFonts w:ascii="Arial" w:hAnsi="Arial" w:cs="Arial"/>
          <w:b/>
          <w:bCs/>
          <w:color w:val="4472C4" w:themeColor="accent1"/>
          <w:sz w:val="32"/>
          <w:szCs w:val="32"/>
        </w:rPr>
        <w:t>Postoj Rady EU k aktualizaci směrnice o právech obětí</w:t>
      </w:r>
    </w:p>
    <w:p w14:paraId="3F34C676" w14:textId="6E827B84" w:rsidR="00342409" w:rsidRDefault="00342409" w:rsidP="00342409">
      <w:pPr>
        <w:shd w:val="clear" w:color="auto" w:fill="FFFFFF"/>
        <w:spacing w:line="240" w:lineRule="auto"/>
        <w:jc w:val="both"/>
        <w:outlineLvl w:val="0"/>
        <w:rPr>
          <w:rFonts w:ascii="Arial" w:hAnsi="Arial" w:cs="Arial"/>
          <w:sz w:val="24"/>
          <w:szCs w:val="24"/>
        </w:rPr>
      </w:pPr>
      <w:r>
        <w:rPr>
          <w:rFonts w:ascii="Arial" w:hAnsi="Arial" w:cs="Arial"/>
          <w:sz w:val="24"/>
          <w:szCs w:val="24"/>
        </w:rPr>
        <w:t>Rada EU dne 13. června zveřejnila svůj postoj k aktualizaci směrnice o právech obětí.</w:t>
      </w:r>
      <w:r w:rsidRPr="00342409">
        <w:rPr>
          <w:rFonts w:ascii="Arial" w:hAnsi="Arial" w:cs="Arial"/>
          <w:sz w:val="24"/>
          <w:szCs w:val="24"/>
        </w:rPr>
        <w:t xml:space="preserve"> </w:t>
      </w:r>
      <w:r>
        <w:rPr>
          <w:rFonts w:ascii="Arial" w:hAnsi="Arial" w:cs="Arial"/>
          <w:sz w:val="24"/>
          <w:szCs w:val="24"/>
        </w:rPr>
        <w:t>Č</w:t>
      </w:r>
      <w:r w:rsidRPr="00342409">
        <w:rPr>
          <w:rFonts w:ascii="Arial" w:hAnsi="Arial" w:cs="Arial"/>
          <w:sz w:val="24"/>
          <w:szCs w:val="24"/>
        </w:rPr>
        <w:t xml:space="preserve">lenské státy </w:t>
      </w:r>
      <w:r>
        <w:rPr>
          <w:rFonts w:ascii="Arial" w:hAnsi="Arial" w:cs="Arial"/>
          <w:sz w:val="24"/>
          <w:szCs w:val="24"/>
        </w:rPr>
        <w:t xml:space="preserve">budou </w:t>
      </w:r>
      <w:r w:rsidRPr="00342409">
        <w:rPr>
          <w:rFonts w:ascii="Arial" w:hAnsi="Arial" w:cs="Arial"/>
          <w:sz w:val="24"/>
          <w:szCs w:val="24"/>
        </w:rPr>
        <w:t>muset zajistit, aby oběti mohly oznamovat trestné činy prostřednictvím snadno přístupných, uživatelsky vstřícných informačních a komunikačních technologií. Tato možnost by měla zahrnovat i předkládání důkazů, je-li to možné.</w:t>
      </w:r>
      <w:r>
        <w:rPr>
          <w:rFonts w:ascii="Arial" w:hAnsi="Arial" w:cs="Arial"/>
          <w:sz w:val="24"/>
          <w:szCs w:val="24"/>
        </w:rPr>
        <w:t xml:space="preserve"> </w:t>
      </w:r>
      <w:r w:rsidRPr="00342409">
        <w:rPr>
          <w:rFonts w:ascii="Arial" w:hAnsi="Arial" w:cs="Arial"/>
          <w:sz w:val="24"/>
          <w:szCs w:val="24"/>
        </w:rPr>
        <w:t>Členské státy budou dále muset zajistit, aby oběti obdržely v prostorách soudu obecné informace o organizačních aspektech soudního stadia trestního soudního řízení a emoční podporu. Budou mít povinnost poskytovat tyto informace a podporu v souladu s individuálními potřebami obětí.</w:t>
      </w:r>
      <w:r>
        <w:rPr>
          <w:rFonts w:ascii="Arial" w:hAnsi="Arial" w:cs="Arial"/>
          <w:sz w:val="24"/>
          <w:szCs w:val="24"/>
        </w:rPr>
        <w:t xml:space="preserve"> </w:t>
      </w:r>
      <w:r w:rsidRPr="00342409">
        <w:rPr>
          <w:rFonts w:ascii="Arial" w:hAnsi="Arial" w:cs="Arial"/>
          <w:sz w:val="24"/>
          <w:szCs w:val="24"/>
        </w:rPr>
        <w:t>Aby bylo pro oběti jednodušší získat přístup k informacím o jejich právech a o tom, jak tato práva uplatňovat, rozhodly se členské státy zřídit bezplatnou a důvěrnou linku pomoci obětem</w:t>
      </w:r>
      <w:r>
        <w:rPr>
          <w:rFonts w:ascii="Arial" w:hAnsi="Arial" w:cs="Arial"/>
          <w:sz w:val="24"/>
          <w:szCs w:val="24"/>
        </w:rPr>
        <w:t>, která bude operovat ve všech úředních jazycích členských států</w:t>
      </w:r>
      <w:r w:rsidRPr="00342409">
        <w:rPr>
          <w:rFonts w:ascii="Arial" w:hAnsi="Arial" w:cs="Arial"/>
          <w:sz w:val="24"/>
          <w:szCs w:val="24"/>
        </w:rPr>
        <w:t>. Tato linka bude dostupná prostřednictvím harmonizovaného celounijního čísla 116 006. Členské státy mohou poskytovat službu linky pomoci i jinými prostředky (jako jsou živé chaty).</w:t>
      </w:r>
      <w:r>
        <w:rPr>
          <w:rFonts w:ascii="Arial" w:hAnsi="Arial" w:cs="Arial"/>
          <w:sz w:val="24"/>
          <w:szCs w:val="24"/>
        </w:rPr>
        <w:t xml:space="preserve"> </w:t>
      </w:r>
      <w:r w:rsidRPr="00342409">
        <w:rPr>
          <w:rFonts w:ascii="Arial" w:hAnsi="Arial" w:cs="Arial"/>
          <w:sz w:val="24"/>
          <w:szCs w:val="24"/>
        </w:rPr>
        <w:t>Cílené a integrované služby podpory budou poskytovat koordinovaný mechanismus založený na spolupráci více institucí, který bude zahrnovat lékařské vyšetření, emoční a psychologickou podporu, možnost oznamování trestných činů, individuální posouzení potřeb ochrany a podpory a možnost pořizovat videozáznamy výpovědí dětských obětí.</w:t>
      </w:r>
    </w:p>
    <w:p w14:paraId="1F20FC98" w14:textId="4F870785" w:rsidR="00342409" w:rsidRDefault="00342409" w:rsidP="00342409">
      <w:pPr>
        <w:shd w:val="clear" w:color="auto" w:fill="FFFFFF"/>
        <w:spacing w:line="240" w:lineRule="auto"/>
        <w:jc w:val="both"/>
        <w:outlineLvl w:val="0"/>
        <w:rPr>
          <w:rStyle w:val="Hypertextovodkaz"/>
          <w:rFonts w:ascii="Arial" w:hAnsi="Arial" w:cs="Arial"/>
          <w:sz w:val="24"/>
          <w:szCs w:val="24"/>
        </w:rPr>
      </w:pPr>
      <w:r>
        <w:rPr>
          <w:rFonts w:ascii="Arial" w:hAnsi="Arial" w:cs="Arial"/>
          <w:sz w:val="24"/>
          <w:szCs w:val="24"/>
        </w:rPr>
        <w:t xml:space="preserve">Více informací je k dispozici v češtině zde: </w:t>
      </w:r>
      <w:hyperlink r:id="rId31" w:history="1">
        <w:r w:rsidRPr="00730AE7">
          <w:rPr>
            <w:rStyle w:val="Hypertextovodkaz"/>
            <w:rFonts w:ascii="Arial" w:hAnsi="Arial" w:cs="Arial"/>
            <w:sz w:val="24"/>
            <w:szCs w:val="24"/>
          </w:rPr>
          <w:t>https://data.consilium.europa.eu/doc/document/ST-10255-2024-INIT/cs/pdf</w:t>
        </w:r>
      </w:hyperlink>
    </w:p>
    <w:p w14:paraId="235163A4" w14:textId="77777777" w:rsidR="00BB38FD" w:rsidRDefault="00BB38FD" w:rsidP="00342409">
      <w:pPr>
        <w:shd w:val="clear" w:color="auto" w:fill="FFFFFF"/>
        <w:spacing w:line="240" w:lineRule="auto"/>
        <w:jc w:val="both"/>
        <w:outlineLvl w:val="0"/>
        <w:rPr>
          <w:rFonts w:ascii="Arial" w:hAnsi="Arial" w:cs="Arial"/>
          <w:sz w:val="24"/>
          <w:szCs w:val="24"/>
        </w:rPr>
      </w:pPr>
    </w:p>
    <w:p w14:paraId="7FFA7D90" w14:textId="1BD22972" w:rsidR="001B1070" w:rsidRDefault="001B1070" w:rsidP="00342409">
      <w:pPr>
        <w:shd w:val="clear" w:color="auto" w:fill="FFFFFF"/>
        <w:spacing w:line="240" w:lineRule="auto"/>
        <w:jc w:val="both"/>
        <w:outlineLvl w:val="0"/>
        <w:rPr>
          <w:rFonts w:ascii="Arial" w:hAnsi="Arial" w:cs="Arial"/>
          <w:b/>
          <w:bCs/>
          <w:color w:val="4472C4" w:themeColor="accent1"/>
          <w:sz w:val="32"/>
          <w:szCs w:val="32"/>
        </w:rPr>
      </w:pPr>
      <w:r>
        <w:rPr>
          <w:rFonts w:cs="Calibri"/>
          <w:noProof/>
          <w:sz w:val="24"/>
          <w:szCs w:val="24"/>
        </w:rPr>
        <w:lastRenderedPageBreak/>
        <w:drawing>
          <wp:inline distT="0" distB="0" distL="0" distR="0" wp14:anchorId="45C00126" wp14:editId="71F8E412">
            <wp:extent cx="372110" cy="372110"/>
            <wp:effectExtent l="0" t="0" r="8890" b="8890"/>
            <wp:docPr id="518392524" name="Obrázek 5183925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1B1070">
        <w:rPr>
          <w:rFonts w:ascii="Arial" w:hAnsi="Arial" w:cs="Arial"/>
          <w:b/>
          <w:bCs/>
          <w:color w:val="4472C4" w:themeColor="accent1"/>
          <w:sz w:val="32"/>
          <w:szCs w:val="32"/>
        </w:rPr>
        <w:t>Rada se dohodla na postoji k pravidlům pro prosazování GDPR</w:t>
      </w:r>
    </w:p>
    <w:p w14:paraId="5F86908A" w14:textId="5DB979BA" w:rsidR="001B1070" w:rsidRPr="001B1070" w:rsidRDefault="001B1070" w:rsidP="001B1070">
      <w:pPr>
        <w:shd w:val="clear" w:color="auto" w:fill="FFFFFF"/>
        <w:spacing w:line="240" w:lineRule="auto"/>
        <w:jc w:val="both"/>
        <w:outlineLvl w:val="0"/>
        <w:rPr>
          <w:rFonts w:ascii="Arial" w:hAnsi="Arial" w:cs="Arial"/>
          <w:sz w:val="24"/>
          <w:szCs w:val="24"/>
        </w:rPr>
      </w:pPr>
      <w:r w:rsidRPr="001B1070">
        <w:rPr>
          <w:rFonts w:ascii="Arial" w:hAnsi="Arial" w:cs="Arial"/>
          <w:sz w:val="24"/>
          <w:szCs w:val="24"/>
        </w:rPr>
        <w:t>Rada dne</w:t>
      </w:r>
      <w:r>
        <w:rPr>
          <w:rFonts w:ascii="Arial" w:hAnsi="Arial" w:cs="Arial"/>
          <w:sz w:val="24"/>
          <w:szCs w:val="24"/>
        </w:rPr>
        <w:t xml:space="preserve"> 13. června</w:t>
      </w:r>
      <w:r w:rsidRPr="001B1070">
        <w:rPr>
          <w:rFonts w:ascii="Arial" w:hAnsi="Arial" w:cs="Arial"/>
          <w:sz w:val="24"/>
          <w:szCs w:val="24"/>
        </w:rPr>
        <w:t xml:space="preserve"> dosáhla dohody o společném postoji členských států k novému </w:t>
      </w:r>
      <w:r>
        <w:rPr>
          <w:rFonts w:ascii="Arial" w:hAnsi="Arial" w:cs="Arial"/>
          <w:sz w:val="24"/>
          <w:szCs w:val="24"/>
        </w:rPr>
        <w:t xml:space="preserve">návrhu nařízení, </w:t>
      </w:r>
      <w:r w:rsidRPr="001B1070">
        <w:rPr>
          <w:rFonts w:ascii="Arial" w:hAnsi="Arial" w:cs="Arial"/>
          <w:sz w:val="24"/>
          <w:szCs w:val="24"/>
        </w:rPr>
        <w:t>kter</w:t>
      </w:r>
      <w:r>
        <w:rPr>
          <w:rFonts w:ascii="Arial" w:hAnsi="Arial" w:cs="Arial"/>
          <w:sz w:val="24"/>
          <w:szCs w:val="24"/>
        </w:rPr>
        <w:t xml:space="preserve">é si klade za cíl </w:t>
      </w:r>
      <w:r w:rsidRPr="001B1070">
        <w:rPr>
          <w:rFonts w:ascii="Arial" w:hAnsi="Arial" w:cs="Arial"/>
          <w:sz w:val="24"/>
          <w:szCs w:val="24"/>
        </w:rPr>
        <w:t>zlepš</w:t>
      </w:r>
      <w:r>
        <w:rPr>
          <w:rFonts w:ascii="Arial" w:hAnsi="Arial" w:cs="Arial"/>
          <w:sz w:val="24"/>
          <w:szCs w:val="24"/>
        </w:rPr>
        <w:t>it</w:t>
      </w:r>
      <w:r w:rsidRPr="001B1070">
        <w:rPr>
          <w:rFonts w:ascii="Arial" w:hAnsi="Arial" w:cs="Arial"/>
          <w:sz w:val="24"/>
          <w:szCs w:val="24"/>
        </w:rPr>
        <w:t xml:space="preserve"> spolupráci mezi vnitrostátními úřady pro ochranu osobních údajů při prosazování obecného nařízení o ochraně osobních údajů (GDPR).</w:t>
      </w:r>
      <w:r>
        <w:rPr>
          <w:rFonts w:ascii="Arial" w:hAnsi="Arial" w:cs="Arial"/>
          <w:sz w:val="24"/>
          <w:szCs w:val="24"/>
        </w:rPr>
        <w:t xml:space="preserve"> Nařízení zavádí </w:t>
      </w:r>
      <w:r w:rsidRPr="001B1070">
        <w:rPr>
          <w:rFonts w:ascii="Arial" w:hAnsi="Arial" w:cs="Arial"/>
          <w:sz w:val="24"/>
          <w:szCs w:val="24"/>
        </w:rPr>
        <w:t>nástroje k urychlení procesu vyřizování přeshraničních stížností podaných občany nebo organizacemi a veškerých navazujících vyšetřování. To bude možné především díky harmonizaci požadavků na přípustnost přeshraničních žalob. Kdykoli občan v EU podá stížnost týkající se přeshraničního zpracování údajů, přípustnost bude posuzována na základě stejných informací.</w:t>
      </w:r>
      <w:r>
        <w:rPr>
          <w:rFonts w:ascii="Arial" w:hAnsi="Arial" w:cs="Arial"/>
          <w:sz w:val="24"/>
          <w:szCs w:val="24"/>
        </w:rPr>
        <w:t xml:space="preserve"> </w:t>
      </w:r>
      <w:r w:rsidRPr="001B1070">
        <w:rPr>
          <w:rFonts w:ascii="Arial" w:hAnsi="Arial" w:cs="Arial"/>
          <w:sz w:val="24"/>
          <w:szCs w:val="24"/>
        </w:rPr>
        <w:t>V nařízení jsou také vyjasněny procesní lhůty a procesní kroky vyšetřování a pro přijetí závazného stanoviska Evropským sborem pro ochranu osobních údajů (EDPB) v případě neshody mezi těmito úřady.</w:t>
      </w:r>
      <w:r>
        <w:rPr>
          <w:rFonts w:ascii="Arial" w:hAnsi="Arial" w:cs="Arial"/>
          <w:sz w:val="24"/>
          <w:szCs w:val="24"/>
        </w:rPr>
        <w:t xml:space="preserve"> </w:t>
      </w:r>
      <w:r w:rsidRPr="001B1070">
        <w:rPr>
          <w:rFonts w:ascii="Arial" w:hAnsi="Arial" w:cs="Arial"/>
          <w:sz w:val="24"/>
          <w:szCs w:val="24"/>
        </w:rPr>
        <w:t>Novým nařízením se harmonizují požadavky a postupy pro slyšení stěžovatele v případě zamítnutí stížnosti a stanoví společná pravidla pro zapojení stěžovatele do řízení.</w:t>
      </w:r>
      <w:r>
        <w:rPr>
          <w:rFonts w:ascii="Arial" w:hAnsi="Arial" w:cs="Arial"/>
          <w:sz w:val="24"/>
          <w:szCs w:val="24"/>
        </w:rPr>
        <w:t xml:space="preserve"> </w:t>
      </w:r>
      <w:r w:rsidRPr="001B1070">
        <w:rPr>
          <w:rFonts w:ascii="Arial" w:hAnsi="Arial" w:cs="Arial"/>
          <w:sz w:val="24"/>
          <w:szCs w:val="24"/>
        </w:rPr>
        <w:t>Stejně tak je v hlavních fázích řízení zajištěno právo vyšetřovaných podniků nebo organizací na slyšení, a to i v průběhu postupu pro řešení sporů EDPB.</w:t>
      </w:r>
    </w:p>
    <w:p w14:paraId="76F1243F" w14:textId="0DA698D9" w:rsidR="001B1070" w:rsidRDefault="001B1070" w:rsidP="001B1070">
      <w:pPr>
        <w:shd w:val="clear" w:color="auto" w:fill="FFFFFF"/>
        <w:spacing w:line="240" w:lineRule="auto"/>
        <w:jc w:val="both"/>
        <w:outlineLvl w:val="0"/>
        <w:rPr>
          <w:rFonts w:ascii="Arial" w:hAnsi="Arial" w:cs="Arial"/>
          <w:sz w:val="24"/>
          <w:szCs w:val="24"/>
        </w:rPr>
      </w:pPr>
      <w:r w:rsidRPr="001B1070">
        <w:rPr>
          <w:rFonts w:ascii="Arial" w:hAnsi="Arial" w:cs="Arial"/>
          <w:sz w:val="24"/>
          <w:szCs w:val="24"/>
        </w:rPr>
        <w:t>Postoj Rady mění návrh nařízení</w:t>
      </w:r>
      <w:r>
        <w:rPr>
          <w:rFonts w:ascii="Arial" w:hAnsi="Arial" w:cs="Arial"/>
          <w:sz w:val="24"/>
          <w:szCs w:val="24"/>
        </w:rPr>
        <w:t>,</w:t>
      </w:r>
      <w:r w:rsidRPr="001B1070">
        <w:rPr>
          <w:rFonts w:ascii="Arial" w:hAnsi="Arial" w:cs="Arial"/>
          <w:sz w:val="24"/>
          <w:szCs w:val="24"/>
        </w:rPr>
        <w:t xml:space="preserve"> </w:t>
      </w:r>
      <w:r>
        <w:rPr>
          <w:rFonts w:ascii="Arial" w:hAnsi="Arial" w:cs="Arial"/>
          <w:sz w:val="24"/>
          <w:szCs w:val="24"/>
        </w:rPr>
        <w:t xml:space="preserve">pokud jde o: vyjasnění lhůt pro postup spolupráce; </w:t>
      </w:r>
      <w:r w:rsidRPr="001B1070">
        <w:rPr>
          <w:rFonts w:ascii="Arial" w:hAnsi="Arial" w:cs="Arial"/>
          <w:sz w:val="24"/>
          <w:szCs w:val="24"/>
        </w:rPr>
        <w:t>stanoví možnost neuplatňovat všechna dodatečná pravidla</w:t>
      </w:r>
      <w:r>
        <w:rPr>
          <w:rFonts w:ascii="Arial" w:hAnsi="Arial" w:cs="Arial"/>
          <w:sz w:val="24"/>
          <w:szCs w:val="24"/>
        </w:rPr>
        <w:t xml:space="preserve"> posílené spolupráce</w:t>
      </w:r>
      <w:r w:rsidRPr="001B1070">
        <w:rPr>
          <w:rFonts w:ascii="Arial" w:hAnsi="Arial" w:cs="Arial"/>
          <w:sz w:val="24"/>
          <w:szCs w:val="24"/>
        </w:rPr>
        <w:t xml:space="preserve"> tam, kde se jedná o jednodušší a jasnější případ</w:t>
      </w:r>
      <w:r>
        <w:rPr>
          <w:rFonts w:ascii="Arial" w:hAnsi="Arial" w:cs="Arial"/>
          <w:sz w:val="24"/>
          <w:szCs w:val="24"/>
        </w:rPr>
        <w:t>;</w:t>
      </w:r>
      <w:r w:rsidRPr="001B1070">
        <w:rPr>
          <w:rFonts w:ascii="Arial" w:hAnsi="Arial" w:cs="Arial"/>
          <w:sz w:val="24"/>
          <w:szCs w:val="24"/>
        </w:rPr>
        <w:t xml:space="preserve"> zavádí mechanismus včasného vyřešení stížností, který úřadům umožňuje vyřešit případ před zahájením standardních postupů pro vyřizování přeshraničních stížností</w:t>
      </w:r>
      <w:r>
        <w:rPr>
          <w:rFonts w:ascii="Arial" w:hAnsi="Arial" w:cs="Arial"/>
          <w:sz w:val="24"/>
          <w:szCs w:val="24"/>
        </w:rPr>
        <w:t>.</w:t>
      </w:r>
    </w:p>
    <w:p w14:paraId="6EBC4875" w14:textId="4834A252" w:rsidR="001B1070" w:rsidRPr="001B1070" w:rsidRDefault="001B1070" w:rsidP="001B1070">
      <w:pPr>
        <w:shd w:val="clear" w:color="auto" w:fill="FFFFFF"/>
        <w:spacing w:line="240" w:lineRule="auto"/>
        <w:jc w:val="both"/>
        <w:outlineLvl w:val="0"/>
        <w:rPr>
          <w:rFonts w:ascii="Arial" w:hAnsi="Arial" w:cs="Arial"/>
          <w:sz w:val="24"/>
          <w:szCs w:val="24"/>
        </w:rPr>
      </w:pPr>
      <w:r>
        <w:rPr>
          <w:rFonts w:ascii="Arial" w:hAnsi="Arial" w:cs="Arial"/>
          <w:sz w:val="24"/>
          <w:szCs w:val="24"/>
        </w:rPr>
        <w:t xml:space="preserve">Více informací je k dispozici v češtině zde: </w:t>
      </w:r>
      <w:hyperlink r:id="rId32" w:history="1">
        <w:r w:rsidRPr="00730AE7">
          <w:rPr>
            <w:rStyle w:val="Hypertextovodkaz"/>
            <w:rFonts w:ascii="Arial" w:hAnsi="Arial" w:cs="Arial"/>
            <w:sz w:val="24"/>
            <w:szCs w:val="24"/>
          </w:rPr>
          <w:t>https://data.consilium.europa.eu/doc/document/ST-10288-2024-INIT/cs/pdf</w:t>
        </w:r>
      </w:hyperlink>
    </w:p>
    <w:p w14:paraId="06176A8B" w14:textId="56EC3B09" w:rsidR="0000765B" w:rsidRPr="00FD65D8" w:rsidRDefault="00BB0BB3" w:rsidP="00FD65D8">
      <w:pPr>
        <w:shd w:val="clear" w:color="auto" w:fill="FFFFFF"/>
        <w:jc w:val="both"/>
        <w:rPr>
          <w:rFonts w:ascii="Arial" w:hAnsi="Arial" w:cs="Arial"/>
          <w:b/>
          <w:bCs/>
          <w:color w:val="4472C4" w:themeColor="accent1"/>
          <w:sz w:val="32"/>
          <w:szCs w:val="32"/>
        </w:rPr>
      </w:pPr>
      <w:r>
        <w:rPr>
          <w:rFonts w:cs="Calibri"/>
          <w:noProof/>
          <w:sz w:val="24"/>
          <w:szCs w:val="24"/>
        </w:rPr>
        <w:drawing>
          <wp:inline distT="0" distB="0" distL="0" distR="0" wp14:anchorId="02C8167A" wp14:editId="5112E80A">
            <wp:extent cx="372110" cy="372110"/>
            <wp:effectExtent l="0" t="0" r="8890" b="8890"/>
            <wp:docPr id="2109625580" name="Obrázek 210962558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FD65D8" w:rsidRPr="00FD65D8">
        <w:rPr>
          <w:rFonts w:ascii="Arial" w:hAnsi="Arial" w:cs="Arial"/>
          <w:b/>
          <w:bCs/>
          <w:color w:val="4472C4" w:themeColor="accent1"/>
          <w:sz w:val="32"/>
          <w:szCs w:val="32"/>
        </w:rPr>
        <w:t>Komise předkládá společný prováděcí plán k Paktu o migraci a azylu</w:t>
      </w:r>
    </w:p>
    <w:p w14:paraId="0D678C2B" w14:textId="32AC1A1E" w:rsidR="00FD65D8" w:rsidRPr="00FD65D8" w:rsidRDefault="00FD65D8" w:rsidP="00FD65D8">
      <w:pPr>
        <w:pStyle w:val="Normlnweb"/>
        <w:jc w:val="both"/>
        <w:rPr>
          <w:rFonts w:ascii="Arial" w:hAnsi="Arial" w:cs="Arial"/>
          <w:color w:val="000000"/>
        </w:rPr>
      </w:pPr>
      <w:r>
        <w:rPr>
          <w:rFonts w:ascii="Arial" w:hAnsi="Arial" w:cs="Arial"/>
          <w:color w:val="000000"/>
        </w:rPr>
        <w:t xml:space="preserve">Komise dne 12. června </w:t>
      </w:r>
      <w:r w:rsidR="00126FEF">
        <w:rPr>
          <w:rFonts w:ascii="Arial" w:hAnsi="Arial" w:cs="Arial"/>
          <w:color w:val="000000"/>
        </w:rPr>
        <w:t xml:space="preserve">přijala </w:t>
      </w:r>
      <w:r w:rsidRPr="00FD65D8">
        <w:rPr>
          <w:rFonts w:ascii="Arial" w:hAnsi="Arial" w:cs="Arial"/>
          <w:color w:val="000000"/>
        </w:rPr>
        <w:t>Společný prováděcí plán k Paktu o migraci a azylu, který stanoví klíčové milníky pro všechny členské státy při zavádění právních a operačních schopností potřebných k úspěšnému uplatňování nových právních předpisů do poloviny roku 2026. Kromě toho budou agentury EU v průběhu celého tohoto procesu poskytovat členským státům operativní i cílenou podporu</w:t>
      </w:r>
      <w:r w:rsidR="00126FEF">
        <w:rPr>
          <w:rFonts w:ascii="Arial" w:hAnsi="Arial" w:cs="Arial"/>
          <w:color w:val="000000"/>
        </w:rPr>
        <w:t xml:space="preserve">. </w:t>
      </w:r>
      <w:r w:rsidRPr="00FD65D8">
        <w:rPr>
          <w:rFonts w:ascii="Arial" w:hAnsi="Arial" w:cs="Arial"/>
          <w:color w:val="000000"/>
        </w:rPr>
        <w:t>Společný prováděcí plán je vzorem pro vnitrostátní prováděcí plány, které mají členské státy přijmout do konce tohoto roku. Plán seskupuje právní, technickou a operativní činnost do deseti základních prvků s cílem zaměřit a usnadnit praktické provádění.</w:t>
      </w:r>
    </w:p>
    <w:p w14:paraId="6434469F" w14:textId="3BFFC5E7" w:rsidR="00386401" w:rsidRDefault="00126FEF" w:rsidP="00126FEF">
      <w:pPr>
        <w:pStyle w:val="Normlnweb"/>
        <w:jc w:val="both"/>
        <w:rPr>
          <w:rFonts w:ascii="Arial" w:hAnsi="Arial" w:cs="Arial"/>
        </w:rPr>
      </w:pPr>
      <w:r>
        <w:rPr>
          <w:rFonts w:ascii="Arial" w:eastAsia="Calibri" w:hAnsi="Arial" w:cs="Arial"/>
          <w:lang w:eastAsia="en-US"/>
        </w:rPr>
        <w:t xml:space="preserve">Plán </w:t>
      </w:r>
      <w:r w:rsidR="00BB0BB3">
        <w:rPr>
          <w:rFonts w:ascii="Arial" w:eastAsia="Calibri" w:hAnsi="Arial" w:cs="Arial"/>
          <w:lang w:eastAsia="en-US"/>
        </w:rPr>
        <w:t>j</w:t>
      </w:r>
      <w:r w:rsidR="00743DDB">
        <w:rPr>
          <w:rFonts w:ascii="Arial" w:eastAsia="Calibri" w:hAnsi="Arial" w:cs="Arial"/>
          <w:lang w:eastAsia="en-US"/>
        </w:rPr>
        <w:t>e</w:t>
      </w:r>
      <w:r w:rsidR="00BB0BB3">
        <w:rPr>
          <w:rFonts w:ascii="Arial" w:eastAsia="Calibri" w:hAnsi="Arial" w:cs="Arial"/>
          <w:lang w:eastAsia="en-US"/>
        </w:rPr>
        <w:t xml:space="preserve"> k dispozici </w:t>
      </w:r>
      <w:r w:rsidR="00A173BE">
        <w:rPr>
          <w:rFonts w:ascii="Arial" w:eastAsia="Calibri" w:hAnsi="Arial" w:cs="Arial"/>
          <w:lang w:eastAsia="en-US"/>
        </w:rPr>
        <w:t>v </w:t>
      </w:r>
      <w:r w:rsidR="00743DDB">
        <w:rPr>
          <w:rFonts w:ascii="Arial" w:eastAsia="Calibri" w:hAnsi="Arial" w:cs="Arial"/>
          <w:lang w:eastAsia="en-US"/>
        </w:rPr>
        <w:t>angličtině</w:t>
      </w:r>
      <w:r w:rsidR="00A173BE">
        <w:rPr>
          <w:rFonts w:ascii="Arial" w:eastAsia="Calibri" w:hAnsi="Arial" w:cs="Arial"/>
          <w:lang w:eastAsia="en-US"/>
        </w:rPr>
        <w:t xml:space="preserve"> </w:t>
      </w:r>
      <w:r w:rsidR="00BB0BB3">
        <w:rPr>
          <w:rFonts w:ascii="Arial" w:eastAsia="Calibri" w:hAnsi="Arial" w:cs="Arial"/>
          <w:lang w:eastAsia="en-US"/>
        </w:rPr>
        <w:t>zde:</w:t>
      </w:r>
      <w:r w:rsidR="00A173BE">
        <w:rPr>
          <w:rFonts w:ascii="Arial" w:eastAsia="Calibri" w:hAnsi="Arial" w:cs="Arial"/>
          <w:lang w:eastAsia="en-US"/>
        </w:rPr>
        <w:t xml:space="preserve"> </w:t>
      </w:r>
      <w:hyperlink r:id="rId33" w:history="1">
        <w:r w:rsidRPr="00126FEF">
          <w:rPr>
            <w:rStyle w:val="Hypertextovodkaz"/>
            <w:rFonts w:ascii="Arial" w:hAnsi="Arial" w:cs="Arial"/>
          </w:rPr>
          <w:t>https://home-affairs.ec.europa.eu/common-implementation-plan-pact-migration-and-asylum_en?prefLang=cs</w:t>
        </w:r>
      </w:hyperlink>
    </w:p>
    <w:p w14:paraId="302208E8" w14:textId="33CAF452" w:rsidR="00B71026" w:rsidRDefault="00B71026" w:rsidP="00126FEF">
      <w:pPr>
        <w:pStyle w:val="Normlnweb"/>
        <w:jc w:val="both"/>
        <w:rPr>
          <w:rFonts w:ascii="Arial" w:hAnsi="Arial" w:cs="Arial"/>
        </w:rPr>
      </w:pPr>
      <w:r>
        <w:rPr>
          <w:rFonts w:cs="Calibri"/>
          <w:noProof/>
        </w:rPr>
        <w:drawing>
          <wp:inline distT="0" distB="0" distL="0" distR="0" wp14:anchorId="6ADA79D3" wp14:editId="5A8090EE">
            <wp:extent cx="372110" cy="372110"/>
            <wp:effectExtent l="0" t="0" r="8890" b="8890"/>
            <wp:docPr id="1570115406" name="Obrázek 157011540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Pr>
          <w:rFonts w:ascii="Arial" w:hAnsi="Arial" w:cs="Arial"/>
        </w:rPr>
        <w:t xml:space="preserve"> </w:t>
      </w:r>
      <w:r w:rsidRPr="00B71026">
        <w:rPr>
          <w:rFonts w:ascii="Arial" w:hAnsi="Arial" w:cs="Arial"/>
          <w:b/>
          <w:bCs/>
          <w:color w:val="4472C4" w:themeColor="accent1"/>
          <w:sz w:val="32"/>
          <w:szCs w:val="32"/>
        </w:rPr>
        <w:t>Postoj Rady k Balíčku o retailových investicích</w:t>
      </w:r>
    </w:p>
    <w:p w14:paraId="0BA67573" w14:textId="77777777" w:rsidR="00386401" w:rsidRDefault="00386401" w:rsidP="00126FEF">
      <w:pPr>
        <w:pStyle w:val="Normlnweb"/>
        <w:jc w:val="both"/>
        <w:rPr>
          <w:rFonts w:ascii="Arial" w:hAnsi="Arial" w:cs="Arial"/>
        </w:rPr>
      </w:pPr>
    </w:p>
    <w:p w14:paraId="372C9394" w14:textId="1A33ED1E" w:rsidR="00B71026" w:rsidRPr="00B71026" w:rsidRDefault="00B71026" w:rsidP="00B71026">
      <w:pPr>
        <w:pStyle w:val="Normlnweb"/>
        <w:jc w:val="both"/>
        <w:rPr>
          <w:rFonts w:ascii="Arial" w:hAnsi="Arial" w:cs="Arial"/>
        </w:rPr>
      </w:pPr>
      <w:r w:rsidRPr="00B71026">
        <w:rPr>
          <w:rFonts w:ascii="Arial" w:hAnsi="Arial" w:cs="Arial"/>
        </w:rPr>
        <w:t>Rada dne</w:t>
      </w:r>
      <w:r>
        <w:rPr>
          <w:rFonts w:ascii="Arial" w:hAnsi="Arial" w:cs="Arial"/>
        </w:rPr>
        <w:t xml:space="preserve"> 12. června</w:t>
      </w:r>
      <w:r w:rsidRPr="00B71026">
        <w:rPr>
          <w:rFonts w:ascii="Arial" w:hAnsi="Arial" w:cs="Arial"/>
        </w:rPr>
        <w:t xml:space="preserve"> dosáhla dohody o posílení pravidel EU na ochranu retailových investorů. Cílem balíčku pro retailové investice je podpořit jednotlivé spotřebitele, kteří chtějí investovat na kapitálových trzích EU, a to lepší ochranou jejich investic, </w:t>
      </w:r>
      <w:r w:rsidRPr="00B71026">
        <w:rPr>
          <w:rFonts w:ascii="Arial" w:hAnsi="Arial" w:cs="Arial"/>
        </w:rPr>
        <w:lastRenderedPageBreak/>
        <w:t>poskytováním jasnějších informací o investičních produktech a zajištěním větší transparentnosti a zveřejňování většího rozsahu informací.</w:t>
      </w:r>
      <w:r>
        <w:rPr>
          <w:rFonts w:ascii="Arial" w:hAnsi="Arial" w:cs="Arial"/>
        </w:rPr>
        <w:t xml:space="preserve"> </w:t>
      </w:r>
      <w:r w:rsidRPr="00B71026">
        <w:rPr>
          <w:rFonts w:ascii="Arial" w:hAnsi="Arial" w:cs="Arial"/>
        </w:rPr>
        <w:t>Rada svém postoji zruš</w:t>
      </w:r>
      <w:r>
        <w:rPr>
          <w:rFonts w:ascii="Arial" w:hAnsi="Arial" w:cs="Arial"/>
        </w:rPr>
        <w:t>ila</w:t>
      </w:r>
      <w:r w:rsidRPr="00B71026">
        <w:rPr>
          <w:rFonts w:ascii="Arial" w:hAnsi="Arial" w:cs="Arial"/>
        </w:rPr>
        <w:t xml:space="preserve"> navrhovaný zákaz „pobídek“ obdržených za prodej pouze na základě pokynu</w:t>
      </w:r>
      <w:r>
        <w:rPr>
          <w:rFonts w:ascii="Arial" w:hAnsi="Arial" w:cs="Arial"/>
        </w:rPr>
        <w:t>. V</w:t>
      </w:r>
      <w:r w:rsidRPr="00B71026">
        <w:rPr>
          <w:rFonts w:ascii="Arial" w:hAnsi="Arial" w:cs="Arial"/>
        </w:rPr>
        <w:t>šechny pobídky</w:t>
      </w:r>
      <w:r>
        <w:rPr>
          <w:rFonts w:ascii="Arial" w:hAnsi="Arial" w:cs="Arial"/>
        </w:rPr>
        <w:t xml:space="preserve"> testu pobídek; </w:t>
      </w:r>
      <w:r w:rsidRPr="00B71026">
        <w:rPr>
          <w:rFonts w:ascii="Arial" w:hAnsi="Arial" w:cs="Arial"/>
        </w:rPr>
        <w:t>povinnost</w:t>
      </w:r>
      <w:r>
        <w:rPr>
          <w:rFonts w:ascii="Arial" w:hAnsi="Arial" w:cs="Arial"/>
        </w:rPr>
        <w:t>í</w:t>
      </w:r>
      <w:r w:rsidRPr="00B71026">
        <w:rPr>
          <w:rFonts w:ascii="Arial" w:hAnsi="Arial" w:cs="Arial"/>
        </w:rPr>
        <w:t xml:space="preserve"> poradců jednat v nejlepším zájmu zákazníka;</w:t>
      </w:r>
      <w:r>
        <w:rPr>
          <w:rFonts w:ascii="Arial" w:hAnsi="Arial" w:cs="Arial"/>
        </w:rPr>
        <w:t xml:space="preserve"> </w:t>
      </w:r>
      <w:r w:rsidRPr="00B71026">
        <w:rPr>
          <w:rFonts w:ascii="Arial" w:hAnsi="Arial" w:cs="Arial"/>
        </w:rPr>
        <w:t>větší transparentnosti a zveřejňování většího rozsahu informací o tom, jaké platby jsou považovány za pobídky, jaké jsou jejich náklady a jejich dopad na návratnost investic.</w:t>
      </w:r>
      <w:r>
        <w:rPr>
          <w:rFonts w:ascii="Arial" w:hAnsi="Arial" w:cs="Arial"/>
        </w:rPr>
        <w:t xml:space="preserve"> Rada rovněž doplnila </w:t>
      </w:r>
      <w:r w:rsidRPr="00B71026">
        <w:rPr>
          <w:rFonts w:ascii="Arial" w:hAnsi="Arial" w:cs="Arial"/>
        </w:rPr>
        <w:t>obecn</w:t>
      </w:r>
      <w:r>
        <w:rPr>
          <w:rFonts w:ascii="Arial" w:hAnsi="Arial" w:cs="Arial"/>
        </w:rPr>
        <w:t>é</w:t>
      </w:r>
      <w:r w:rsidRPr="00B71026">
        <w:rPr>
          <w:rFonts w:ascii="Arial" w:hAnsi="Arial" w:cs="Arial"/>
        </w:rPr>
        <w:t xml:space="preserve"> zásad</w:t>
      </w:r>
      <w:r>
        <w:rPr>
          <w:rFonts w:ascii="Arial" w:hAnsi="Arial" w:cs="Arial"/>
        </w:rPr>
        <w:t>y</w:t>
      </w:r>
      <w:r w:rsidRPr="00B71026">
        <w:rPr>
          <w:rFonts w:ascii="Arial" w:hAnsi="Arial" w:cs="Arial"/>
        </w:rPr>
        <w:t>, které je třeba dodržovat</w:t>
      </w:r>
      <w:r w:rsidR="00EE4AAA">
        <w:rPr>
          <w:rFonts w:ascii="Arial" w:hAnsi="Arial" w:cs="Arial"/>
        </w:rPr>
        <w:t>,</w:t>
      </w:r>
      <w:r w:rsidRPr="00B71026">
        <w:rPr>
          <w:rFonts w:ascii="Arial" w:hAnsi="Arial" w:cs="Arial"/>
        </w:rPr>
        <w:t xml:space="preserve"> když </w:t>
      </w:r>
      <w:r>
        <w:rPr>
          <w:rFonts w:ascii="Arial" w:hAnsi="Arial" w:cs="Arial"/>
        </w:rPr>
        <w:t xml:space="preserve">podniky </w:t>
      </w:r>
      <w:r w:rsidRPr="00B71026">
        <w:rPr>
          <w:rFonts w:ascii="Arial" w:hAnsi="Arial" w:cs="Arial"/>
        </w:rPr>
        <w:t>vyplácejí pobídky třetí straně nebo je od ní přijímají, a měly by být schopny jejich dodržení prokázat příslušným vnitrostátním orgánům.</w:t>
      </w:r>
      <w:r>
        <w:rPr>
          <w:rFonts w:ascii="Arial" w:hAnsi="Arial" w:cs="Arial"/>
        </w:rPr>
        <w:t xml:space="preserve"> Č</w:t>
      </w:r>
      <w:r w:rsidRPr="00B71026">
        <w:rPr>
          <w:rFonts w:ascii="Arial" w:hAnsi="Arial" w:cs="Arial"/>
        </w:rPr>
        <w:t xml:space="preserve">lenské státy </w:t>
      </w:r>
      <w:r>
        <w:rPr>
          <w:rFonts w:ascii="Arial" w:hAnsi="Arial" w:cs="Arial"/>
        </w:rPr>
        <w:t xml:space="preserve">mohou </w:t>
      </w:r>
      <w:r w:rsidRPr="00B71026">
        <w:rPr>
          <w:rFonts w:ascii="Arial" w:hAnsi="Arial" w:cs="Arial"/>
        </w:rPr>
        <w:t>uplatňova</w:t>
      </w:r>
      <w:r>
        <w:rPr>
          <w:rFonts w:ascii="Arial" w:hAnsi="Arial" w:cs="Arial"/>
        </w:rPr>
        <w:t>t</w:t>
      </w:r>
      <w:r w:rsidRPr="00B71026">
        <w:rPr>
          <w:rFonts w:ascii="Arial" w:hAnsi="Arial" w:cs="Arial"/>
        </w:rPr>
        <w:t xml:space="preserve"> zákaz pobídek, který již mají zaveden, nebo aby se rozhodly takové zákazy zavést v</w:t>
      </w:r>
      <w:r>
        <w:rPr>
          <w:rFonts w:ascii="Arial" w:hAnsi="Arial" w:cs="Arial"/>
        </w:rPr>
        <w:t> </w:t>
      </w:r>
      <w:r w:rsidRPr="00B71026">
        <w:rPr>
          <w:rFonts w:ascii="Arial" w:hAnsi="Arial" w:cs="Arial"/>
        </w:rPr>
        <w:t>budoucnu</w:t>
      </w:r>
      <w:r>
        <w:rPr>
          <w:rFonts w:ascii="Arial" w:hAnsi="Arial" w:cs="Arial"/>
        </w:rPr>
        <w:t>.</w:t>
      </w:r>
    </w:p>
    <w:p w14:paraId="7B645CB4" w14:textId="514A71A8" w:rsidR="00B71026" w:rsidRPr="00B71026" w:rsidRDefault="00B71026" w:rsidP="00B71026">
      <w:pPr>
        <w:pStyle w:val="Normlnweb"/>
        <w:jc w:val="both"/>
        <w:rPr>
          <w:rFonts w:ascii="Arial" w:hAnsi="Arial" w:cs="Arial"/>
        </w:rPr>
      </w:pPr>
      <w:r w:rsidRPr="00B71026">
        <w:rPr>
          <w:rFonts w:ascii="Arial" w:hAnsi="Arial" w:cs="Arial"/>
        </w:rPr>
        <w:t xml:space="preserve">Balíček </w:t>
      </w:r>
      <w:r>
        <w:rPr>
          <w:rFonts w:ascii="Arial" w:hAnsi="Arial" w:cs="Arial"/>
        </w:rPr>
        <w:t xml:space="preserve">dále </w:t>
      </w:r>
      <w:r w:rsidRPr="00B71026">
        <w:rPr>
          <w:rFonts w:ascii="Arial" w:hAnsi="Arial" w:cs="Arial"/>
        </w:rPr>
        <w:t>zavádí nový koncept „zhodnocení vynaložených finančních prostředků“, aby se zajistilo, že investiční produkty budou retailovým zákazníkům nabízeny pouze tehdy, pokud nabízejí dobré zhodnocení.</w:t>
      </w:r>
      <w:r>
        <w:rPr>
          <w:rFonts w:ascii="Arial" w:hAnsi="Arial" w:cs="Arial"/>
        </w:rPr>
        <w:t xml:space="preserve"> </w:t>
      </w:r>
      <w:r w:rsidRPr="00B71026">
        <w:rPr>
          <w:rFonts w:ascii="Arial" w:hAnsi="Arial" w:cs="Arial"/>
        </w:rPr>
        <w:t xml:space="preserve">Evropský orgán pro cenné papíry a trhy (ESMA) a Evropský orgán pro pojišťovnictví a zaměstnanecké penzijní pojištění (EIOPA) vypracují referenční hodnoty Unie v oblasti dohledu. </w:t>
      </w:r>
    </w:p>
    <w:p w14:paraId="46DF72FD" w14:textId="054B1F4B" w:rsidR="00B71026" w:rsidRDefault="00B71026" w:rsidP="00126FEF">
      <w:pPr>
        <w:pStyle w:val="Normlnweb"/>
        <w:jc w:val="both"/>
        <w:rPr>
          <w:rFonts w:ascii="Arial" w:hAnsi="Arial" w:cs="Arial"/>
        </w:rPr>
      </w:pPr>
      <w:r>
        <w:rPr>
          <w:rFonts w:ascii="Arial" w:hAnsi="Arial" w:cs="Arial"/>
        </w:rPr>
        <w:t xml:space="preserve">Více informací je k dispozici v češtině zde: </w:t>
      </w:r>
      <w:hyperlink r:id="rId34" w:history="1">
        <w:r w:rsidRPr="00730AE7">
          <w:rPr>
            <w:rStyle w:val="Hypertextovodkaz"/>
            <w:rFonts w:ascii="Arial" w:hAnsi="Arial" w:cs="Arial"/>
          </w:rPr>
          <w:t>https://www.consilium.europa.eu/cs/press/press-releases/2024/06/12/retail-investment-package-council-agrees-on-its-position/</w:t>
        </w:r>
      </w:hyperlink>
    </w:p>
    <w:p w14:paraId="6B86CA74" w14:textId="2DE80DB0" w:rsidR="00386401" w:rsidRDefault="00386401" w:rsidP="00126FEF">
      <w:pPr>
        <w:pStyle w:val="Normlnweb"/>
        <w:jc w:val="both"/>
        <w:rPr>
          <w:rFonts w:ascii="Arial" w:hAnsi="Arial" w:cs="Arial"/>
          <w:b/>
          <w:bCs/>
          <w:color w:val="4472C4" w:themeColor="accent1"/>
          <w:sz w:val="32"/>
          <w:szCs w:val="32"/>
        </w:rPr>
      </w:pPr>
      <w:r>
        <w:rPr>
          <w:rFonts w:cs="Calibri"/>
          <w:noProof/>
        </w:rPr>
        <w:drawing>
          <wp:inline distT="0" distB="0" distL="0" distR="0" wp14:anchorId="1D7837CA" wp14:editId="2800EF97">
            <wp:extent cx="372110" cy="372110"/>
            <wp:effectExtent l="0" t="0" r="8890" b="8890"/>
            <wp:docPr id="646214782" name="Obrázek 64621478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386401">
        <w:rPr>
          <w:rFonts w:ascii="Arial" w:hAnsi="Arial" w:cs="Arial"/>
          <w:b/>
          <w:bCs/>
          <w:color w:val="4472C4" w:themeColor="accent1"/>
          <w:sz w:val="32"/>
          <w:szCs w:val="32"/>
        </w:rPr>
        <w:t>Srovnávací přehled EU o soudnictví 2024</w:t>
      </w:r>
    </w:p>
    <w:p w14:paraId="477CF5F6" w14:textId="29804937" w:rsidR="00386401" w:rsidRPr="00386401" w:rsidRDefault="00386401" w:rsidP="00386401">
      <w:pPr>
        <w:pStyle w:val="Normlnweb"/>
        <w:jc w:val="both"/>
        <w:rPr>
          <w:rFonts w:ascii="Arial" w:hAnsi="Arial" w:cs="Arial"/>
        </w:rPr>
      </w:pPr>
      <w:r w:rsidRPr="00386401">
        <w:rPr>
          <w:rFonts w:ascii="Arial" w:hAnsi="Arial" w:cs="Arial"/>
        </w:rPr>
        <w:t>Evropská komise dne</w:t>
      </w:r>
      <w:r>
        <w:rPr>
          <w:rFonts w:ascii="Arial" w:hAnsi="Arial" w:cs="Arial"/>
        </w:rPr>
        <w:t xml:space="preserve"> 11. června</w:t>
      </w:r>
      <w:r w:rsidRPr="00386401">
        <w:rPr>
          <w:rFonts w:ascii="Arial" w:hAnsi="Arial" w:cs="Arial"/>
        </w:rPr>
        <w:t xml:space="preserve"> zveřejnila dvanácté vydání srovnávacího přehledu EU o soudnictví, který každoročně poskytuje srovnávací údaje o účinnosti, kvalitě a nezávislosti systémů soudnictví v členských státech. Ve srovnání s minulým rokem se vnímání nezávislosti soudnictví u veřejnosti zlepšilo, a to i v zemích, které se potýkaly se systémovými výzvami.</w:t>
      </w:r>
      <w:r>
        <w:rPr>
          <w:rFonts w:ascii="Arial" w:hAnsi="Arial" w:cs="Arial"/>
        </w:rPr>
        <w:t xml:space="preserve"> </w:t>
      </w:r>
      <w:r w:rsidRPr="00386401">
        <w:rPr>
          <w:rFonts w:ascii="Arial" w:hAnsi="Arial" w:cs="Arial"/>
        </w:rPr>
        <w:t>Letošní srovnávací přehled obsahuje několik nových grafů věnovaných přístupu k soudnictví, například pokud jde o přístup osob se zdravotním postižením k povoláním v soudnictví, přístup ke spravedlnosti pro spotřebitele při podávání zástupných žalob na ochranu jejich kolektivních zájmů, platy odborných pracovníků soudů a státních zastupitelství a notáře a jejich pravomoci v dědických řízeních. Vydání z roku 2024 rovněž poprvé obsahuje specifické nové grafy věnované nezávislosti soudnictví, týkající se například jmenování předsedů soudů, vnitrostátních rámců pro majetková přiznání nebo odvolávání nejvyšších státních zástupců.</w:t>
      </w:r>
    </w:p>
    <w:p w14:paraId="7B15E989" w14:textId="39858990" w:rsidR="00386401" w:rsidRPr="00386401" w:rsidRDefault="00386401" w:rsidP="00386401">
      <w:pPr>
        <w:pStyle w:val="Normlnweb"/>
        <w:jc w:val="both"/>
        <w:rPr>
          <w:rFonts w:ascii="Arial" w:hAnsi="Arial" w:cs="Arial"/>
        </w:rPr>
      </w:pPr>
      <w:r w:rsidRPr="00386401">
        <w:rPr>
          <w:rFonts w:ascii="Arial" w:hAnsi="Arial" w:cs="Arial"/>
        </w:rPr>
        <w:t>Ve čtrnácti členských státech jmenují státní zástupce buď nezávislé rady pro státní zastupitelství, nebo samotná státní zastupitelství. Pravomoc jmenovat státní zástupce svěřená výkonné moci (ministr spravedlnosti, vláda nebo hlava státu) podléhá soudnímu přezkumu téměř ve všech dvanácti členských státech, v nichž jsou státní zástupci takto jmenováni. Rovněž je téměř ve všech těchto dvanácti členských státech povinné uvést důvody pro odmítnutí kandidáta na funkci státního zástupce. Pravomoc odvolat nejvyššího státního zástupce má ve dvaceti členských státech výkonná moc nebo parlament (v pěti z nich na návrh Rady pro justici), zatímco šest členských států svěřuje tuto pravomoc Radě pro justici. V šestnácti členských státech existuje možnost přezkumu tohoto rozhodnutí.</w:t>
      </w:r>
    </w:p>
    <w:p w14:paraId="15EB7D81" w14:textId="09446FF0" w:rsidR="00386401" w:rsidRPr="00386401" w:rsidRDefault="00386401" w:rsidP="00386401">
      <w:pPr>
        <w:pStyle w:val="Normlnweb"/>
        <w:jc w:val="both"/>
        <w:rPr>
          <w:rFonts w:ascii="Arial" w:hAnsi="Arial" w:cs="Arial"/>
        </w:rPr>
      </w:pPr>
      <w:r w:rsidRPr="00386401">
        <w:rPr>
          <w:rFonts w:ascii="Arial" w:hAnsi="Arial" w:cs="Arial"/>
        </w:rPr>
        <w:t xml:space="preserve">Jen šest členských států má procesní pravidla, která v občanských, obchodních, správních a trestních věcech připouštějí důkazy předložené v digitální podobě. Ve 26 členských státech je to možné v některých případech nebo v některých oblastech </w:t>
      </w:r>
      <w:r w:rsidRPr="00386401">
        <w:rPr>
          <w:rFonts w:ascii="Arial" w:hAnsi="Arial" w:cs="Arial"/>
        </w:rPr>
        <w:lastRenderedPageBreak/>
        <w:t xml:space="preserve">práva. </w:t>
      </w:r>
      <w:r>
        <w:rPr>
          <w:rFonts w:ascii="Arial" w:hAnsi="Arial" w:cs="Arial"/>
        </w:rPr>
        <w:t>S</w:t>
      </w:r>
      <w:r w:rsidRPr="00386401">
        <w:rPr>
          <w:rFonts w:ascii="Arial" w:hAnsi="Arial" w:cs="Arial"/>
        </w:rPr>
        <w:t>tále existuje prostor pro zlepšení, pokud jde o možnost zahájit řízení nebo uplatnit nárok on-line. Devět členských států tuto možnost umožňuje pouze v některých situacích, nebo ji neumožňuje vůbec.</w:t>
      </w:r>
      <w:r>
        <w:rPr>
          <w:rFonts w:ascii="Arial" w:hAnsi="Arial" w:cs="Arial"/>
        </w:rPr>
        <w:t xml:space="preserve"> </w:t>
      </w:r>
      <w:r w:rsidRPr="00386401">
        <w:rPr>
          <w:rFonts w:ascii="Arial" w:hAnsi="Arial" w:cs="Arial"/>
        </w:rPr>
        <w:t>Ve dvaceti členských státech existují alespoň nějaká zvláštní opatření na podporu účasti osob se zdravotním postižením.</w:t>
      </w:r>
    </w:p>
    <w:p w14:paraId="063A77B6" w14:textId="7D8E3F64" w:rsidR="00386401" w:rsidRPr="00386401" w:rsidRDefault="00386401" w:rsidP="00386401">
      <w:pPr>
        <w:pStyle w:val="Normlnweb"/>
        <w:jc w:val="both"/>
        <w:rPr>
          <w:rFonts w:ascii="Arial" w:hAnsi="Arial" w:cs="Arial"/>
        </w:rPr>
      </w:pPr>
      <w:r w:rsidRPr="00386401">
        <w:rPr>
          <w:rFonts w:ascii="Arial" w:hAnsi="Arial" w:cs="Arial"/>
        </w:rPr>
        <w:t>Ve 26 členských státech jsou informace o právech oběti nebo podezřelého a o řízeních poskytovány způsobem vstřícným k dětem a v osmnácti členských státech jsou trestní řízení týkající se dětí projednávána jako naléhavá záležitost.</w:t>
      </w:r>
    </w:p>
    <w:p w14:paraId="0D0AF488" w14:textId="02E85A13" w:rsidR="00126FEF" w:rsidRPr="00386401" w:rsidRDefault="00386401" w:rsidP="00126FEF">
      <w:pPr>
        <w:pStyle w:val="Normlnweb"/>
        <w:jc w:val="both"/>
        <w:rPr>
          <w:rFonts w:ascii="Arial" w:hAnsi="Arial" w:cs="Arial"/>
        </w:rPr>
      </w:pPr>
      <w:r w:rsidRPr="00386401">
        <w:rPr>
          <w:rFonts w:ascii="Arial" w:hAnsi="Arial" w:cs="Arial"/>
        </w:rPr>
        <w:t xml:space="preserve">Přehled je k dispozici v angličtině zde: </w:t>
      </w:r>
      <w:hyperlink r:id="rId35" w:history="1">
        <w:r w:rsidRPr="00386401">
          <w:rPr>
            <w:rStyle w:val="Hypertextovodkaz"/>
            <w:rFonts w:ascii="Arial" w:hAnsi="Arial" w:cs="Arial"/>
          </w:rPr>
          <w:t>https://commission.europa.eu/document/84aa3726-82d7-4401-98c1-fee04a7d2dd6_en</w:t>
        </w:r>
      </w:hyperlink>
    </w:p>
    <w:p w14:paraId="36F9C5F5" w14:textId="77777777" w:rsidR="00386401" w:rsidRPr="00126FEF" w:rsidRDefault="00386401" w:rsidP="00126FEF">
      <w:pPr>
        <w:pStyle w:val="Normlnweb"/>
        <w:jc w:val="both"/>
      </w:pPr>
    </w:p>
    <w:p w14:paraId="0BAE5151" w14:textId="38940DCB" w:rsidR="00BB0BB3" w:rsidRDefault="0026610A" w:rsidP="00FE1CDC">
      <w:pPr>
        <w:shd w:val="clear" w:color="auto" w:fill="FFFFFF"/>
        <w:suppressAutoHyphens w:val="0"/>
        <w:autoSpaceDN/>
        <w:spacing w:after="300" w:line="240" w:lineRule="auto"/>
        <w:jc w:val="both"/>
        <w:textAlignment w:val="auto"/>
        <w:rPr>
          <w:rFonts w:ascii="Arial" w:hAnsi="Arial" w:cs="Arial"/>
          <w:b/>
          <w:bCs/>
          <w:color w:val="4472C4" w:themeColor="accent1"/>
          <w:sz w:val="32"/>
          <w:szCs w:val="32"/>
          <w:u w:val="single"/>
        </w:rPr>
      </w:pPr>
      <w:r w:rsidRPr="0026610A">
        <w:rPr>
          <w:rFonts w:ascii="Arial" w:hAnsi="Arial" w:cs="Arial"/>
          <w:b/>
          <w:bCs/>
          <w:color w:val="4472C4" w:themeColor="accent1"/>
          <w:sz w:val="32"/>
          <w:szCs w:val="32"/>
          <w:u w:val="single"/>
        </w:rPr>
        <w:t>JUDIKATURA:</w:t>
      </w:r>
    </w:p>
    <w:p w14:paraId="07E320D6" w14:textId="1F846D52" w:rsidR="00B77657" w:rsidRDefault="00B77657" w:rsidP="00BB0BB3">
      <w:pPr>
        <w:shd w:val="clear" w:color="auto" w:fill="FFFFFF"/>
        <w:spacing w:line="240" w:lineRule="auto"/>
        <w:jc w:val="both"/>
        <w:outlineLvl w:val="0"/>
        <w:rPr>
          <w:rFonts w:ascii="Arial" w:hAnsi="Arial" w:cs="Arial"/>
          <w:b/>
          <w:bCs/>
          <w:color w:val="4472C4" w:themeColor="accent1"/>
          <w:sz w:val="32"/>
          <w:szCs w:val="32"/>
        </w:rPr>
      </w:pPr>
      <w:r>
        <w:rPr>
          <w:rFonts w:cs="Calibri"/>
          <w:noProof/>
          <w:sz w:val="24"/>
          <w:szCs w:val="24"/>
        </w:rPr>
        <w:drawing>
          <wp:inline distT="0" distB="0" distL="0" distR="0" wp14:anchorId="5D4EE0C0" wp14:editId="36110D9A">
            <wp:extent cx="372110" cy="372110"/>
            <wp:effectExtent l="0" t="0" r="8890" b="8890"/>
            <wp:docPr id="335437730" name="Obrázek 3354377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Pr>
          <w:rFonts w:ascii="Arial" w:hAnsi="Arial" w:cs="Arial"/>
          <w:b/>
          <w:bCs/>
          <w:color w:val="4472C4" w:themeColor="accent1"/>
          <w:sz w:val="32"/>
          <w:szCs w:val="32"/>
        </w:rPr>
        <w:t xml:space="preserve">SDEU: </w:t>
      </w:r>
      <w:r w:rsidR="00B10E7E" w:rsidRPr="00B10E7E">
        <w:rPr>
          <w:rFonts w:ascii="Arial" w:hAnsi="Arial" w:cs="Arial"/>
          <w:b/>
          <w:bCs/>
          <w:color w:val="4472C4" w:themeColor="accent1"/>
          <w:sz w:val="32"/>
          <w:szCs w:val="32"/>
        </w:rPr>
        <w:t xml:space="preserve">Rozsudek Soudního dvora ve věci </w:t>
      </w:r>
      <w:r w:rsidR="00FC5E7D">
        <w:rPr>
          <w:rFonts w:ascii="Arial" w:hAnsi="Arial" w:cs="Arial"/>
          <w:b/>
          <w:bCs/>
          <w:color w:val="4472C4" w:themeColor="accent1"/>
          <w:sz w:val="32"/>
          <w:szCs w:val="32"/>
        </w:rPr>
        <w:t>v</w:t>
      </w:r>
      <w:r w:rsidR="00FC5E7D" w:rsidRPr="00FC5E7D">
        <w:rPr>
          <w:rFonts w:ascii="Arial" w:hAnsi="Arial" w:cs="Arial"/>
          <w:b/>
          <w:bCs/>
          <w:color w:val="4472C4" w:themeColor="accent1"/>
          <w:sz w:val="32"/>
          <w:szCs w:val="32"/>
        </w:rPr>
        <w:t>e věci C</w:t>
      </w:r>
      <w:r w:rsidR="00FC5E7D" w:rsidRPr="00FC5E7D">
        <w:rPr>
          <w:rFonts w:ascii="Arial" w:hAnsi="Arial" w:cs="Arial"/>
          <w:b/>
          <w:bCs/>
          <w:color w:val="4472C4" w:themeColor="accent1"/>
          <w:sz w:val="32"/>
          <w:szCs w:val="32"/>
        </w:rPr>
        <w:noBreakHyphen/>
        <w:t>760/22</w:t>
      </w:r>
      <w:r w:rsidR="00FC5E7D">
        <w:rPr>
          <w:rFonts w:ascii="Arial" w:hAnsi="Arial" w:cs="Arial"/>
          <w:b/>
          <w:bCs/>
          <w:color w:val="4472C4" w:themeColor="accent1"/>
          <w:sz w:val="32"/>
          <w:szCs w:val="32"/>
        </w:rPr>
        <w:t xml:space="preserve"> trestní řízení proti FP a dalším, ze dne 4. července 2024</w:t>
      </w:r>
    </w:p>
    <w:p w14:paraId="7E6C7E8B" w14:textId="42DFAF1D" w:rsidR="003611F5" w:rsidRPr="003611F5" w:rsidRDefault="003611F5" w:rsidP="003611F5">
      <w:pPr>
        <w:shd w:val="clear" w:color="auto" w:fill="FFFFFF"/>
        <w:spacing w:line="240" w:lineRule="auto"/>
        <w:jc w:val="both"/>
        <w:outlineLvl w:val="0"/>
        <w:rPr>
          <w:rFonts w:ascii="Arial" w:hAnsi="Arial" w:cs="Arial"/>
          <w:b/>
          <w:bCs/>
          <w:sz w:val="24"/>
          <w:szCs w:val="24"/>
        </w:rPr>
      </w:pPr>
      <w:r w:rsidRPr="003611F5">
        <w:rPr>
          <w:rFonts w:ascii="Arial" w:hAnsi="Arial" w:cs="Arial"/>
          <w:b/>
          <w:bCs/>
          <w:sz w:val="24"/>
          <w:szCs w:val="24"/>
        </w:rPr>
        <w:t>Žádost o rozhodnutí o předběžné otázce se týk</w:t>
      </w:r>
      <w:r>
        <w:rPr>
          <w:rFonts w:ascii="Arial" w:hAnsi="Arial" w:cs="Arial"/>
          <w:b/>
          <w:bCs/>
          <w:sz w:val="24"/>
          <w:szCs w:val="24"/>
        </w:rPr>
        <w:t>ala</w:t>
      </w:r>
      <w:r w:rsidRPr="003611F5">
        <w:rPr>
          <w:rFonts w:ascii="Arial" w:hAnsi="Arial" w:cs="Arial"/>
          <w:b/>
          <w:bCs/>
          <w:sz w:val="24"/>
          <w:szCs w:val="24"/>
        </w:rPr>
        <w:t xml:space="preserve"> výkladu čl. 8 odst. 1 směrnice Evropského parlamentu a Rady 2016/343 ze dne 9. března 2016, kterou se posilují některé aspekty presumpce neviny a právo být přítomen při trestním řízení před soudem</w:t>
      </w:r>
      <w:r>
        <w:rPr>
          <w:rFonts w:ascii="Arial" w:hAnsi="Arial" w:cs="Arial"/>
          <w:b/>
          <w:bCs/>
          <w:sz w:val="24"/>
          <w:szCs w:val="24"/>
        </w:rPr>
        <w:t>.</w:t>
      </w:r>
    </w:p>
    <w:p w14:paraId="09BB291D" w14:textId="02C62A6F" w:rsidR="003611F5" w:rsidRPr="003611F5" w:rsidRDefault="003611F5" w:rsidP="003611F5">
      <w:pPr>
        <w:shd w:val="clear" w:color="auto" w:fill="FFFFFF"/>
        <w:spacing w:line="240" w:lineRule="auto"/>
        <w:jc w:val="both"/>
        <w:outlineLvl w:val="0"/>
        <w:rPr>
          <w:rFonts w:ascii="Arial" w:hAnsi="Arial" w:cs="Arial"/>
          <w:sz w:val="24"/>
          <w:szCs w:val="24"/>
        </w:rPr>
      </w:pPr>
      <w:r w:rsidRPr="003611F5">
        <w:rPr>
          <w:rFonts w:ascii="Arial" w:hAnsi="Arial" w:cs="Arial"/>
          <w:sz w:val="24"/>
          <w:szCs w:val="24"/>
        </w:rPr>
        <w:t xml:space="preserve">Podáním obžaloby Specializovaného státního zastupitelství bylo u Specializovaného trestního soudu </w:t>
      </w:r>
      <w:r>
        <w:rPr>
          <w:rFonts w:ascii="Arial" w:hAnsi="Arial" w:cs="Arial"/>
          <w:sz w:val="24"/>
          <w:szCs w:val="24"/>
        </w:rPr>
        <w:t xml:space="preserve">v Bulharsku </w:t>
      </w:r>
      <w:r w:rsidRPr="003611F5">
        <w:rPr>
          <w:rFonts w:ascii="Arial" w:hAnsi="Arial" w:cs="Arial"/>
          <w:sz w:val="24"/>
          <w:szCs w:val="24"/>
        </w:rPr>
        <w:t>zahájeno trestní řízení proti sedmi osobám, včetně FP, obžalovaným z účasti na zločinecké skupině založené za účelem obohacení a s cílem spáchat daňové trestné činy ve smyslu článku 255 bulharského trestního zákoníku</w:t>
      </w:r>
      <w:r>
        <w:rPr>
          <w:rFonts w:ascii="Arial" w:hAnsi="Arial" w:cs="Arial"/>
          <w:sz w:val="24"/>
          <w:szCs w:val="24"/>
        </w:rPr>
        <w:t xml:space="preserve">. </w:t>
      </w:r>
      <w:r w:rsidRPr="003611F5">
        <w:rPr>
          <w:rFonts w:ascii="Arial" w:hAnsi="Arial" w:cs="Arial"/>
          <w:sz w:val="24"/>
          <w:szCs w:val="24"/>
        </w:rPr>
        <w:t>Podle tohoto trestního řádu se jedná o závažný zločin.</w:t>
      </w:r>
      <w:r>
        <w:rPr>
          <w:rFonts w:ascii="Arial" w:hAnsi="Arial" w:cs="Arial"/>
          <w:sz w:val="24"/>
          <w:szCs w:val="24"/>
        </w:rPr>
        <w:t xml:space="preserve"> </w:t>
      </w:r>
      <w:r w:rsidRPr="003611F5">
        <w:rPr>
          <w:rFonts w:ascii="Arial" w:hAnsi="Arial" w:cs="Arial"/>
          <w:sz w:val="24"/>
          <w:szCs w:val="24"/>
        </w:rPr>
        <w:t>Dne 12. října 2021 byl FP u Specializovaného trestního soudu při prvním veřejném jednání ve vlastní věci přítomen prostřednictvím videokonference. Prohlásil, že nemají-li ostatní účastníci řízení námitek, přeje si účastnit se řízení on-line, protože žije a pracuje ve Spojeném království. Jeho obhájce, který byl fyzicky přítomen v jednací síni, uvedl, že jeho klient se seznámil se všemi dokumenty k případu. Ze žádosti o rozhodnutí o předběžné otázce mimoto vyplývá, že během jednání mohl být každý nový dokument zaslán FP elektronicky k včasnému posouzení a konzultace mezi FP a jeho obhájcem mohly být vedeny důvěrně prostřednictvím odděleného spojení.</w:t>
      </w:r>
      <w:r>
        <w:rPr>
          <w:rFonts w:ascii="Arial" w:hAnsi="Arial" w:cs="Arial"/>
          <w:sz w:val="24"/>
          <w:szCs w:val="24"/>
        </w:rPr>
        <w:t xml:space="preserve"> </w:t>
      </w:r>
      <w:r w:rsidRPr="003611F5">
        <w:rPr>
          <w:rFonts w:ascii="Arial" w:hAnsi="Arial" w:cs="Arial"/>
          <w:sz w:val="24"/>
          <w:szCs w:val="24"/>
        </w:rPr>
        <w:t xml:space="preserve">Na tomto jednání Specializovaný trestní soud na základě čl. </w:t>
      </w:r>
      <w:proofErr w:type="gramStart"/>
      <w:r w:rsidRPr="003611F5">
        <w:rPr>
          <w:rFonts w:ascii="Arial" w:hAnsi="Arial" w:cs="Arial"/>
          <w:sz w:val="24"/>
          <w:szCs w:val="24"/>
        </w:rPr>
        <w:t>6a</w:t>
      </w:r>
      <w:proofErr w:type="gramEnd"/>
      <w:r w:rsidRPr="003611F5">
        <w:rPr>
          <w:rFonts w:ascii="Arial" w:hAnsi="Arial" w:cs="Arial"/>
          <w:sz w:val="24"/>
          <w:szCs w:val="24"/>
        </w:rPr>
        <w:t xml:space="preserve"> odst. 2 zákona zmíněného v bodě 6 tohoto rozsudku povolil, aby se FP účastnil soudního jednání prostřednictvím videokonference, a to při dodržení záruk a podmínek, které uvedený trestní soud stanovil. FP se tak prostřednictvím videokonference zúčastnil následujících jednání, s výjimkou jednání konaného dne 28. února 2022, při kterém byl přítomen fyzicky.</w:t>
      </w:r>
    </w:p>
    <w:p w14:paraId="7A8BB262" w14:textId="46347925" w:rsidR="003611F5" w:rsidRPr="003611F5" w:rsidRDefault="003611F5" w:rsidP="003611F5">
      <w:pPr>
        <w:shd w:val="clear" w:color="auto" w:fill="FFFFFF"/>
        <w:spacing w:line="240" w:lineRule="auto"/>
        <w:jc w:val="both"/>
        <w:outlineLvl w:val="0"/>
        <w:rPr>
          <w:rFonts w:ascii="Arial" w:hAnsi="Arial" w:cs="Arial"/>
          <w:sz w:val="24"/>
          <w:szCs w:val="24"/>
        </w:rPr>
      </w:pPr>
      <w:r w:rsidRPr="003611F5">
        <w:rPr>
          <w:rFonts w:ascii="Arial" w:hAnsi="Arial" w:cs="Arial"/>
          <w:sz w:val="24"/>
          <w:szCs w:val="24"/>
        </w:rPr>
        <w:t>Na jednání konaném dne 13. června 2022 FP vyjádřil přání účastnit se i nadále řízení prostřednictvím videokonference. Specializovaný trestní soud však měl pochybnosti o</w:t>
      </w:r>
      <w:r w:rsidR="00EE4AAA">
        <w:rPr>
          <w:rFonts w:ascii="Arial" w:hAnsi="Arial" w:cs="Arial"/>
          <w:sz w:val="24"/>
          <w:szCs w:val="24"/>
        </w:rPr>
        <w:t> </w:t>
      </w:r>
      <w:r w:rsidRPr="003611F5">
        <w:rPr>
          <w:rFonts w:ascii="Arial" w:hAnsi="Arial" w:cs="Arial"/>
          <w:sz w:val="24"/>
          <w:szCs w:val="24"/>
        </w:rPr>
        <w:t xml:space="preserve">tom, zda podle bulharského práva tato možnost i nadále existuje, jelikož čl. </w:t>
      </w:r>
      <w:proofErr w:type="gramStart"/>
      <w:r w:rsidRPr="003611F5">
        <w:rPr>
          <w:rFonts w:ascii="Arial" w:hAnsi="Arial" w:cs="Arial"/>
          <w:sz w:val="24"/>
          <w:szCs w:val="24"/>
        </w:rPr>
        <w:t>6a</w:t>
      </w:r>
      <w:proofErr w:type="gramEnd"/>
      <w:r w:rsidRPr="003611F5">
        <w:rPr>
          <w:rFonts w:ascii="Arial" w:hAnsi="Arial" w:cs="Arial"/>
          <w:sz w:val="24"/>
          <w:szCs w:val="24"/>
        </w:rPr>
        <w:t xml:space="preserve"> odst.</w:t>
      </w:r>
      <w:r w:rsidR="009640BB">
        <w:rPr>
          <w:rFonts w:ascii="Arial" w:hAnsi="Arial" w:cs="Arial"/>
          <w:sz w:val="24"/>
          <w:szCs w:val="24"/>
        </w:rPr>
        <w:t> </w:t>
      </w:r>
      <w:r w:rsidRPr="003611F5">
        <w:rPr>
          <w:rFonts w:ascii="Arial" w:hAnsi="Arial" w:cs="Arial"/>
          <w:sz w:val="24"/>
          <w:szCs w:val="24"/>
        </w:rPr>
        <w:t xml:space="preserve">2 uvedeného zákona byl účinný jen do 31. května 2022. Uvedený soud mimoto poznamenal, že NPK nestanoví možnost obviněných osob účastnit se soudního řízení prostřednictvím videokonference, s výjimkou určitých zvláštních případů, z nichž se </w:t>
      </w:r>
      <w:r w:rsidRPr="003611F5">
        <w:rPr>
          <w:rFonts w:ascii="Arial" w:hAnsi="Arial" w:cs="Arial"/>
          <w:sz w:val="24"/>
          <w:szCs w:val="24"/>
        </w:rPr>
        <w:lastRenderedPageBreak/>
        <w:t>žádný nevztahuje na uvedené řízení. Uvedený soud nicméně zdůraznil, že bulharské právní předpisy použití videokonference výslovně nezakazují.</w:t>
      </w:r>
      <w:r>
        <w:rPr>
          <w:rFonts w:ascii="Arial" w:hAnsi="Arial" w:cs="Arial"/>
          <w:sz w:val="24"/>
          <w:szCs w:val="24"/>
        </w:rPr>
        <w:t xml:space="preserve"> </w:t>
      </w:r>
      <w:r w:rsidRPr="003611F5">
        <w:rPr>
          <w:rFonts w:ascii="Arial" w:hAnsi="Arial" w:cs="Arial"/>
          <w:sz w:val="24"/>
          <w:szCs w:val="24"/>
        </w:rPr>
        <w:t>Vzhledem k neexistenci specifického právního základu obhájce FP požádal, aby se FP mohl účastnit jednání na dálku a zároveň byl považován za nepřítomného.</w:t>
      </w:r>
      <w:r>
        <w:rPr>
          <w:rFonts w:ascii="Arial" w:hAnsi="Arial" w:cs="Arial"/>
          <w:sz w:val="24"/>
          <w:szCs w:val="24"/>
        </w:rPr>
        <w:t xml:space="preserve"> </w:t>
      </w:r>
      <w:r w:rsidRPr="003611F5">
        <w:rPr>
          <w:rFonts w:ascii="Arial" w:hAnsi="Arial" w:cs="Arial"/>
          <w:sz w:val="24"/>
          <w:szCs w:val="24"/>
        </w:rPr>
        <w:t xml:space="preserve">Specializovaný trestní soud </w:t>
      </w:r>
      <w:r>
        <w:rPr>
          <w:rFonts w:ascii="Arial" w:hAnsi="Arial" w:cs="Arial"/>
          <w:sz w:val="24"/>
          <w:szCs w:val="24"/>
        </w:rPr>
        <w:t xml:space="preserve">této </w:t>
      </w:r>
      <w:r w:rsidRPr="003611F5">
        <w:rPr>
          <w:rFonts w:ascii="Arial" w:hAnsi="Arial" w:cs="Arial"/>
          <w:sz w:val="24"/>
          <w:szCs w:val="24"/>
        </w:rPr>
        <w:t xml:space="preserve">žádosti nevyhověl. Měl za to, že byl-li by obžalovaný považován za nepřítomného, vznikla by diskrepance s jeho skutečnou účastí na soudním řízení. V důsledku legislativní změny, která nabyla účinnosti dne 27. července 2022, byl Specializovaný trestní soud zrušen a příslušnost k rozhodování některých trestních věcí, které mu byly předloženy a mezi něž </w:t>
      </w:r>
      <w:proofErr w:type="gramStart"/>
      <w:r w:rsidRPr="003611F5">
        <w:rPr>
          <w:rFonts w:ascii="Arial" w:hAnsi="Arial" w:cs="Arial"/>
          <w:sz w:val="24"/>
          <w:szCs w:val="24"/>
        </w:rPr>
        <w:t>patří</w:t>
      </w:r>
      <w:proofErr w:type="gramEnd"/>
      <w:r w:rsidRPr="003611F5">
        <w:rPr>
          <w:rFonts w:ascii="Arial" w:hAnsi="Arial" w:cs="Arial"/>
          <w:sz w:val="24"/>
          <w:szCs w:val="24"/>
        </w:rPr>
        <w:t xml:space="preserve"> i věc v původním řízení, byla od tohoto data přenesena na Městský soud v</w:t>
      </w:r>
      <w:r>
        <w:rPr>
          <w:rFonts w:ascii="Arial" w:hAnsi="Arial" w:cs="Arial"/>
          <w:sz w:val="24"/>
          <w:szCs w:val="24"/>
        </w:rPr>
        <w:t> </w:t>
      </w:r>
      <w:r w:rsidRPr="003611F5">
        <w:rPr>
          <w:rFonts w:ascii="Arial" w:hAnsi="Arial" w:cs="Arial"/>
          <w:sz w:val="24"/>
          <w:szCs w:val="24"/>
        </w:rPr>
        <w:t>Sofii</w:t>
      </w:r>
      <w:r>
        <w:rPr>
          <w:rFonts w:ascii="Arial" w:hAnsi="Arial" w:cs="Arial"/>
          <w:sz w:val="24"/>
          <w:szCs w:val="24"/>
        </w:rPr>
        <w:t xml:space="preserve">, </w:t>
      </w:r>
      <w:r w:rsidRPr="003611F5">
        <w:rPr>
          <w:rFonts w:ascii="Arial" w:hAnsi="Arial" w:cs="Arial"/>
          <w:sz w:val="24"/>
          <w:szCs w:val="24"/>
        </w:rPr>
        <w:t>který je předkládajícím soudem.</w:t>
      </w:r>
      <w:r w:rsidR="009640BB">
        <w:rPr>
          <w:rFonts w:ascii="Arial" w:hAnsi="Arial" w:cs="Arial"/>
          <w:sz w:val="24"/>
          <w:szCs w:val="24"/>
        </w:rPr>
        <w:t xml:space="preserve"> </w:t>
      </w:r>
      <w:r w:rsidRPr="003611F5">
        <w:rPr>
          <w:rFonts w:ascii="Arial" w:hAnsi="Arial" w:cs="Arial"/>
          <w:sz w:val="24"/>
          <w:szCs w:val="24"/>
        </w:rPr>
        <w:t>Vzhledem k tomu, že ve vnitrostátním právu neexistuje právní základ, který by výslovně umožňoval použití videokonference, klade si předkládající soud otázku, zda je možnost obviněné osoby účastnit se ve vlastní věci jednání za použití této techniky slučitelná se směrnicí 2016/343, konkrétně s jejím čl. 8 odst. 1.</w:t>
      </w:r>
    </w:p>
    <w:p w14:paraId="48F8330A" w14:textId="45F76047" w:rsidR="003611F5" w:rsidRPr="003611F5" w:rsidRDefault="003611F5" w:rsidP="003611F5">
      <w:pPr>
        <w:shd w:val="clear" w:color="auto" w:fill="FFFFFF"/>
        <w:spacing w:line="240" w:lineRule="auto"/>
        <w:jc w:val="both"/>
        <w:outlineLvl w:val="0"/>
        <w:rPr>
          <w:rFonts w:ascii="Arial" w:hAnsi="Arial" w:cs="Arial"/>
          <w:sz w:val="24"/>
          <w:szCs w:val="24"/>
        </w:rPr>
      </w:pPr>
      <w:r w:rsidRPr="003611F5">
        <w:rPr>
          <w:rFonts w:ascii="Arial" w:hAnsi="Arial" w:cs="Arial"/>
          <w:sz w:val="24"/>
          <w:szCs w:val="24"/>
        </w:rPr>
        <w:t>Soudní dvůr rozhodl, že na základě práva zakotveného v čl. 8 odst. 1 směrnice 2016/343 musí mít obviněná osoba možnost být přítomna při jednáních, která se konají v rámci vůči ní vedenému řízení, aniž tato směrnice vyžaduje, aby členské státy uložily každé podezřelé nebo obviněné osob</w:t>
      </w:r>
      <w:r w:rsidR="009640BB">
        <w:rPr>
          <w:rFonts w:ascii="Arial" w:hAnsi="Arial" w:cs="Arial"/>
          <w:sz w:val="24"/>
          <w:szCs w:val="24"/>
        </w:rPr>
        <w:t>ě</w:t>
      </w:r>
      <w:r w:rsidRPr="003611F5">
        <w:rPr>
          <w:rFonts w:ascii="Arial" w:hAnsi="Arial" w:cs="Arial"/>
          <w:sz w:val="24"/>
          <w:szCs w:val="24"/>
        </w:rPr>
        <w:t xml:space="preserve"> povinnost být ve vlastní věci přítomna při řízení před soudem</w:t>
      </w:r>
      <w:r>
        <w:rPr>
          <w:rFonts w:ascii="Arial" w:hAnsi="Arial" w:cs="Arial"/>
          <w:sz w:val="24"/>
          <w:szCs w:val="24"/>
        </w:rPr>
        <w:t xml:space="preserve">. </w:t>
      </w:r>
      <w:r w:rsidRPr="003611F5">
        <w:rPr>
          <w:rFonts w:ascii="Arial" w:hAnsi="Arial" w:cs="Arial"/>
          <w:sz w:val="24"/>
          <w:szCs w:val="24"/>
        </w:rPr>
        <w:t>Z článku 1 směrnice vyplývá, že jejím cílem je stanovit společná minimální pravidla týkající se některých aspektů presumpce neviny v trestním řízení a práva podezřelé nebo obviněné osoby být přítomen při trestním řízení před soudem, a nikoli provést úplnou harmonizaci trestního řízení</w:t>
      </w:r>
      <w:r>
        <w:rPr>
          <w:rFonts w:ascii="Arial" w:hAnsi="Arial" w:cs="Arial"/>
          <w:sz w:val="24"/>
          <w:szCs w:val="24"/>
        </w:rPr>
        <w:t xml:space="preserve">. </w:t>
      </w:r>
      <w:r w:rsidRPr="003611F5">
        <w:rPr>
          <w:rFonts w:ascii="Arial" w:hAnsi="Arial" w:cs="Arial"/>
          <w:sz w:val="24"/>
          <w:szCs w:val="24"/>
        </w:rPr>
        <w:t>Vzhledem k omezenému rozsahu harmonizace provedené uvedenou směrnicí a k okolnosti, že čl.</w:t>
      </w:r>
      <w:r w:rsidR="009640BB">
        <w:rPr>
          <w:rFonts w:ascii="Arial" w:hAnsi="Arial" w:cs="Arial"/>
          <w:sz w:val="24"/>
          <w:szCs w:val="24"/>
        </w:rPr>
        <w:t> </w:t>
      </w:r>
      <w:r w:rsidRPr="003611F5">
        <w:rPr>
          <w:rFonts w:ascii="Arial" w:hAnsi="Arial" w:cs="Arial"/>
          <w:sz w:val="24"/>
          <w:szCs w:val="24"/>
        </w:rPr>
        <w:t>8 odst. 1 této směrnice neupravuje otázku, zda členské státy mohou stanovit, že se obžalovaný může na svou výslovnou žádost účastnit jednání v trestním řízení, které je proti němu vedeno, prostřednictvím videokonference, se tudíž taková otázka řídí vnitrostátním právem</w:t>
      </w:r>
      <w:r>
        <w:rPr>
          <w:rFonts w:ascii="Arial" w:hAnsi="Arial" w:cs="Arial"/>
          <w:sz w:val="24"/>
          <w:szCs w:val="24"/>
        </w:rPr>
        <w:t xml:space="preserve">. </w:t>
      </w:r>
      <w:r w:rsidRPr="003611F5">
        <w:rPr>
          <w:rFonts w:ascii="Arial" w:hAnsi="Arial" w:cs="Arial"/>
          <w:sz w:val="24"/>
          <w:szCs w:val="24"/>
        </w:rPr>
        <w:t>Vzhledem k tomu, že čl. 8 odst. 1 směrnice 2016/343 tuto otázku neupravuje, nemůže toto ustanovení bránit tomu, aby bylo obžalovanému, který o to výslovně požádá, povoleno účastnit se ve vlastní věci jednání v řízení před soudem prostřednictvím videokonference.</w:t>
      </w:r>
    </w:p>
    <w:p w14:paraId="1D763FC4" w14:textId="64B99655" w:rsidR="003611F5" w:rsidRPr="003611F5" w:rsidRDefault="003611F5" w:rsidP="00C16C93">
      <w:pPr>
        <w:shd w:val="clear" w:color="auto" w:fill="FFFFFF"/>
        <w:spacing w:line="240" w:lineRule="auto"/>
        <w:jc w:val="both"/>
        <w:outlineLvl w:val="0"/>
        <w:rPr>
          <w:rFonts w:ascii="Arial" w:hAnsi="Arial" w:cs="Arial"/>
          <w:sz w:val="24"/>
          <w:szCs w:val="24"/>
        </w:rPr>
      </w:pPr>
      <w:r w:rsidRPr="003611F5">
        <w:rPr>
          <w:rFonts w:ascii="Arial" w:hAnsi="Arial" w:cs="Arial"/>
          <w:sz w:val="24"/>
          <w:szCs w:val="24"/>
        </w:rPr>
        <w:t>Evropský soud pro lidská práva v tomto ohledu rozhodl, že účast na jednání prostřednictvím videokonference není sama o sobě neslučitelná s pojmem „spravedlivý a veřejný proces“, ale že je třeba se ujistit, že jednotlivec je schopen sledovat jednání a být vyslechnut bez technických překážek, jakož i účinně a důvěrně komunikovat se svým obhájcem</w:t>
      </w:r>
      <w:r w:rsidR="00E4272B">
        <w:rPr>
          <w:rFonts w:ascii="Arial" w:hAnsi="Arial" w:cs="Arial"/>
          <w:sz w:val="24"/>
          <w:szCs w:val="24"/>
        </w:rPr>
        <w:t xml:space="preserve">. </w:t>
      </w:r>
      <w:r>
        <w:rPr>
          <w:rFonts w:ascii="Arial" w:hAnsi="Arial" w:cs="Arial"/>
          <w:sz w:val="24"/>
          <w:szCs w:val="24"/>
        </w:rPr>
        <w:t xml:space="preserve">SDEU proto dospěl k závěru, </w:t>
      </w:r>
      <w:r w:rsidRPr="003611F5">
        <w:rPr>
          <w:rFonts w:ascii="Arial" w:hAnsi="Arial" w:cs="Arial"/>
          <w:sz w:val="24"/>
          <w:szCs w:val="24"/>
        </w:rPr>
        <w:t>že čl. 8 odst. 1 směrnice 2016/343 musí být vykládán v tom smyslu, že nebrání tomu, aby se obžalovaný mohl na svou výslovnou žádost účastnit ve vlastní věci jednání v řízení před soudem prostřednictvím videokonference, přičemž musí být zaručeno i právo na spravedlivý proces.</w:t>
      </w:r>
    </w:p>
    <w:p w14:paraId="6967CCDA" w14:textId="0FD057B9" w:rsidR="003611F5" w:rsidRDefault="00C16C93" w:rsidP="00B77657">
      <w:pPr>
        <w:shd w:val="clear" w:color="auto" w:fill="FFFFFF"/>
        <w:spacing w:line="240" w:lineRule="auto"/>
        <w:jc w:val="both"/>
        <w:outlineLvl w:val="0"/>
        <w:rPr>
          <w:rStyle w:val="Hypertextovodkaz"/>
          <w:rFonts w:ascii="Arial" w:hAnsi="Arial" w:cs="Arial"/>
          <w:sz w:val="24"/>
          <w:szCs w:val="24"/>
        </w:rPr>
      </w:pPr>
      <w:r>
        <w:rPr>
          <w:rFonts w:ascii="Arial" w:hAnsi="Arial" w:cs="Arial"/>
          <w:sz w:val="24"/>
          <w:szCs w:val="24"/>
        </w:rPr>
        <w:t xml:space="preserve">Kompletní text rozsudku je k dispozici zde: </w:t>
      </w:r>
      <w:hyperlink r:id="rId36" w:history="1">
        <w:r w:rsidR="003611F5" w:rsidRPr="003611F5">
          <w:rPr>
            <w:rStyle w:val="Hypertextovodkaz"/>
            <w:rFonts w:ascii="Arial" w:hAnsi="Arial" w:cs="Arial"/>
            <w:sz w:val="24"/>
            <w:szCs w:val="24"/>
          </w:rPr>
          <w:t>https://curia.europa.eu/juris/liste.jsf?num=C-760/22&amp;language=CS</w:t>
        </w:r>
      </w:hyperlink>
    </w:p>
    <w:p w14:paraId="2235EBEE" w14:textId="77777777" w:rsidR="009640BB" w:rsidRDefault="009640BB" w:rsidP="00B77657">
      <w:pPr>
        <w:shd w:val="clear" w:color="auto" w:fill="FFFFFF"/>
        <w:spacing w:line="240" w:lineRule="auto"/>
        <w:jc w:val="both"/>
        <w:outlineLvl w:val="0"/>
        <w:rPr>
          <w:rStyle w:val="Hypertextovodkaz"/>
          <w:rFonts w:ascii="Arial" w:hAnsi="Arial" w:cs="Arial"/>
          <w:sz w:val="24"/>
          <w:szCs w:val="24"/>
        </w:rPr>
      </w:pPr>
    </w:p>
    <w:p w14:paraId="29ACF1A1" w14:textId="77777777" w:rsidR="009640BB" w:rsidRPr="003611F5" w:rsidRDefault="009640BB" w:rsidP="00B77657">
      <w:pPr>
        <w:shd w:val="clear" w:color="auto" w:fill="FFFFFF"/>
        <w:spacing w:line="240" w:lineRule="auto"/>
        <w:jc w:val="both"/>
        <w:outlineLvl w:val="0"/>
      </w:pPr>
    </w:p>
    <w:p w14:paraId="7B7D9955" w14:textId="7E2FEA9C" w:rsidR="004374F2" w:rsidRPr="00BA2655" w:rsidRDefault="00293821" w:rsidP="004374F2">
      <w:pPr>
        <w:jc w:val="both"/>
        <w:rPr>
          <w:rFonts w:ascii="Arial" w:hAnsi="Arial" w:cs="Arial"/>
          <w:b/>
          <w:bCs/>
          <w:sz w:val="24"/>
          <w:szCs w:val="24"/>
        </w:rPr>
      </w:pPr>
      <w:r>
        <w:rPr>
          <w:rFonts w:cs="Calibri"/>
          <w:noProof/>
          <w:sz w:val="24"/>
          <w:szCs w:val="24"/>
        </w:rPr>
        <w:lastRenderedPageBreak/>
        <w:drawing>
          <wp:inline distT="0" distB="0" distL="0" distR="0" wp14:anchorId="5BD2A078" wp14:editId="3A62F8CE">
            <wp:extent cx="372110" cy="372110"/>
            <wp:effectExtent l="0" t="0" r="8890" b="8890"/>
            <wp:docPr id="661781238" name="Obrázek 66178123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293821">
        <w:rPr>
          <w:rFonts w:ascii="Arial" w:hAnsi="Arial" w:cs="Arial"/>
          <w:b/>
          <w:bCs/>
          <w:color w:val="4472C4" w:themeColor="accent1"/>
          <w:sz w:val="32"/>
          <w:szCs w:val="32"/>
        </w:rPr>
        <w:t xml:space="preserve"> </w:t>
      </w:r>
      <w:r w:rsidR="004374F2">
        <w:rPr>
          <w:rFonts w:ascii="Arial" w:hAnsi="Arial" w:cs="Arial"/>
          <w:b/>
          <w:bCs/>
          <w:color w:val="4472C4" w:themeColor="accent1"/>
          <w:sz w:val="32"/>
          <w:szCs w:val="32"/>
        </w:rPr>
        <w:t>ESLP</w:t>
      </w:r>
      <w:r w:rsidR="004374F2" w:rsidRPr="004374F2">
        <w:rPr>
          <w:rFonts w:ascii="Arial" w:hAnsi="Arial" w:cs="Arial"/>
          <w:b/>
          <w:bCs/>
          <w:color w:val="4472C4" w:themeColor="accent1"/>
          <w:sz w:val="32"/>
          <w:szCs w:val="32"/>
        </w:rPr>
        <w:t xml:space="preserve">: Rozsudek ve věci </w:t>
      </w:r>
      <w:proofErr w:type="spellStart"/>
      <w:r w:rsidR="004374F2" w:rsidRPr="004374F2">
        <w:rPr>
          <w:rFonts w:ascii="Arial" w:hAnsi="Arial" w:cs="Arial"/>
          <w:b/>
          <w:bCs/>
          <w:color w:val="4472C4" w:themeColor="accent1"/>
          <w:sz w:val="32"/>
          <w:szCs w:val="32"/>
        </w:rPr>
        <w:t>Bersheda</w:t>
      </w:r>
      <w:proofErr w:type="spellEnd"/>
      <w:r w:rsidR="004374F2" w:rsidRPr="004374F2">
        <w:rPr>
          <w:rFonts w:ascii="Arial" w:hAnsi="Arial" w:cs="Arial"/>
          <w:b/>
          <w:bCs/>
          <w:color w:val="4472C4" w:themeColor="accent1"/>
          <w:sz w:val="32"/>
          <w:szCs w:val="32"/>
        </w:rPr>
        <w:t xml:space="preserve"> a </w:t>
      </w:r>
      <w:proofErr w:type="spellStart"/>
      <w:r w:rsidR="004374F2" w:rsidRPr="004374F2">
        <w:rPr>
          <w:rFonts w:ascii="Arial" w:hAnsi="Arial" w:cs="Arial"/>
          <w:b/>
          <w:bCs/>
          <w:color w:val="4472C4" w:themeColor="accent1"/>
          <w:sz w:val="32"/>
          <w:szCs w:val="32"/>
        </w:rPr>
        <w:t>Rybolovlev</w:t>
      </w:r>
      <w:proofErr w:type="spellEnd"/>
      <w:r w:rsidR="004374F2" w:rsidRPr="004374F2">
        <w:rPr>
          <w:rFonts w:ascii="Arial" w:hAnsi="Arial" w:cs="Arial"/>
          <w:b/>
          <w:bCs/>
          <w:color w:val="4472C4" w:themeColor="accent1"/>
          <w:sz w:val="32"/>
          <w:szCs w:val="32"/>
        </w:rPr>
        <w:t xml:space="preserve"> proti Monaku (stížnosti č. 36559/19 a 36570/19), ze dne 6. června 2024</w:t>
      </w:r>
    </w:p>
    <w:p w14:paraId="1C70402D" w14:textId="739DA02B" w:rsidR="004374F2" w:rsidRPr="00BA2655" w:rsidRDefault="004374F2" w:rsidP="004374F2">
      <w:pPr>
        <w:jc w:val="both"/>
        <w:rPr>
          <w:rFonts w:ascii="Arial" w:hAnsi="Arial" w:cs="Arial"/>
          <w:sz w:val="24"/>
          <w:szCs w:val="24"/>
        </w:rPr>
      </w:pPr>
      <w:r>
        <w:rPr>
          <w:rFonts w:ascii="Arial" w:hAnsi="Arial" w:cs="Arial"/>
          <w:sz w:val="24"/>
          <w:szCs w:val="24"/>
        </w:rPr>
        <w:t xml:space="preserve">ESLP </w:t>
      </w:r>
      <w:r w:rsidRPr="00BA2655">
        <w:rPr>
          <w:rFonts w:ascii="Arial" w:hAnsi="Arial" w:cs="Arial"/>
          <w:sz w:val="24"/>
          <w:szCs w:val="24"/>
        </w:rPr>
        <w:t xml:space="preserve">rozhodl jednomyslně ve věci </w:t>
      </w:r>
      <w:proofErr w:type="spellStart"/>
      <w:r w:rsidRPr="00BA2655">
        <w:rPr>
          <w:rFonts w:ascii="Arial" w:hAnsi="Arial" w:cs="Arial"/>
          <w:sz w:val="24"/>
          <w:szCs w:val="24"/>
        </w:rPr>
        <w:t>Bersheda</w:t>
      </w:r>
      <w:proofErr w:type="spellEnd"/>
      <w:r w:rsidRPr="00BA2655">
        <w:rPr>
          <w:rFonts w:ascii="Arial" w:hAnsi="Arial" w:cs="Arial"/>
          <w:sz w:val="24"/>
          <w:szCs w:val="24"/>
        </w:rPr>
        <w:t xml:space="preserve"> a </w:t>
      </w:r>
      <w:proofErr w:type="spellStart"/>
      <w:r w:rsidRPr="00BA2655">
        <w:rPr>
          <w:rFonts w:ascii="Arial" w:hAnsi="Arial" w:cs="Arial"/>
          <w:sz w:val="24"/>
          <w:szCs w:val="24"/>
        </w:rPr>
        <w:t>Rybolovlev</w:t>
      </w:r>
      <w:proofErr w:type="spellEnd"/>
      <w:r w:rsidRPr="00BA2655">
        <w:rPr>
          <w:rFonts w:ascii="Arial" w:hAnsi="Arial" w:cs="Arial"/>
          <w:sz w:val="24"/>
          <w:szCs w:val="24"/>
        </w:rPr>
        <w:t xml:space="preserve"> proti Monaku, že v případě stěžovatelky,</w:t>
      </w:r>
      <w:r w:rsidR="009640BB">
        <w:rPr>
          <w:rFonts w:ascii="Arial" w:hAnsi="Arial" w:cs="Arial"/>
          <w:sz w:val="24"/>
          <w:szCs w:val="24"/>
        </w:rPr>
        <w:t xml:space="preserve"> </w:t>
      </w:r>
      <w:r w:rsidRPr="00BA2655">
        <w:rPr>
          <w:rFonts w:ascii="Arial" w:hAnsi="Arial" w:cs="Arial"/>
          <w:sz w:val="24"/>
          <w:szCs w:val="24"/>
        </w:rPr>
        <w:t xml:space="preserve">advokátky, </w:t>
      </w:r>
      <w:proofErr w:type="spellStart"/>
      <w:r w:rsidRPr="00BA2655">
        <w:rPr>
          <w:rFonts w:ascii="Arial" w:hAnsi="Arial" w:cs="Arial"/>
          <w:sz w:val="24"/>
          <w:szCs w:val="24"/>
        </w:rPr>
        <w:t>Tetiany</w:t>
      </w:r>
      <w:proofErr w:type="spellEnd"/>
      <w:r w:rsidRPr="00BA2655">
        <w:rPr>
          <w:rFonts w:ascii="Arial" w:hAnsi="Arial" w:cs="Arial"/>
          <w:sz w:val="24"/>
          <w:szCs w:val="24"/>
        </w:rPr>
        <w:t xml:space="preserve"> </w:t>
      </w:r>
      <w:proofErr w:type="spellStart"/>
      <w:r w:rsidRPr="00BA2655">
        <w:rPr>
          <w:rFonts w:ascii="Arial" w:hAnsi="Arial" w:cs="Arial"/>
          <w:sz w:val="24"/>
          <w:szCs w:val="24"/>
        </w:rPr>
        <w:t>Bershedy</w:t>
      </w:r>
      <w:proofErr w:type="spellEnd"/>
      <w:r w:rsidRPr="00BA2655">
        <w:rPr>
          <w:rFonts w:ascii="Arial" w:hAnsi="Arial" w:cs="Arial"/>
          <w:sz w:val="24"/>
          <w:szCs w:val="24"/>
        </w:rPr>
        <w:t xml:space="preserve"> došlo k porušení článku 8 Úmluvy o</w:t>
      </w:r>
      <w:r w:rsidR="009640BB">
        <w:rPr>
          <w:rFonts w:ascii="Arial" w:hAnsi="Arial" w:cs="Arial"/>
          <w:sz w:val="24"/>
          <w:szCs w:val="24"/>
        </w:rPr>
        <w:t> </w:t>
      </w:r>
      <w:r w:rsidRPr="00BA2655">
        <w:rPr>
          <w:rFonts w:ascii="Arial" w:hAnsi="Arial" w:cs="Arial"/>
          <w:sz w:val="24"/>
          <w:szCs w:val="24"/>
        </w:rPr>
        <w:t>ochraně lidských práv a základních svobod (právo na respektování soukromého a</w:t>
      </w:r>
      <w:r w:rsidR="009640BB">
        <w:rPr>
          <w:rFonts w:ascii="Arial" w:hAnsi="Arial" w:cs="Arial"/>
          <w:sz w:val="24"/>
          <w:szCs w:val="24"/>
        </w:rPr>
        <w:t> </w:t>
      </w:r>
      <w:r w:rsidRPr="00BA2655">
        <w:rPr>
          <w:rFonts w:ascii="Arial" w:hAnsi="Arial" w:cs="Arial"/>
          <w:sz w:val="24"/>
          <w:szCs w:val="24"/>
        </w:rPr>
        <w:t xml:space="preserve">rodinného života); v případě stěžovatele Dmitrije </w:t>
      </w:r>
      <w:proofErr w:type="spellStart"/>
      <w:r w:rsidRPr="00BA2655">
        <w:rPr>
          <w:rFonts w:ascii="Arial" w:hAnsi="Arial" w:cs="Arial"/>
          <w:sz w:val="24"/>
          <w:szCs w:val="24"/>
        </w:rPr>
        <w:t>Rybolovleva</w:t>
      </w:r>
      <w:proofErr w:type="spellEnd"/>
      <w:r w:rsidRPr="00BA2655">
        <w:rPr>
          <w:rFonts w:ascii="Arial" w:hAnsi="Arial" w:cs="Arial"/>
          <w:sz w:val="24"/>
          <w:szCs w:val="24"/>
        </w:rPr>
        <w:t xml:space="preserve"> prohlásil stížnost za nepřijatelnou.</w:t>
      </w:r>
    </w:p>
    <w:p w14:paraId="498CA47E" w14:textId="48BF75F6" w:rsidR="004374F2" w:rsidRPr="00BA2655" w:rsidRDefault="004374F2" w:rsidP="004374F2">
      <w:pPr>
        <w:jc w:val="both"/>
        <w:rPr>
          <w:rFonts w:ascii="Arial" w:hAnsi="Arial" w:cs="Arial"/>
          <w:b/>
          <w:bCs/>
          <w:sz w:val="24"/>
          <w:szCs w:val="24"/>
        </w:rPr>
      </w:pPr>
      <w:r w:rsidRPr="00BA2655">
        <w:rPr>
          <w:rFonts w:ascii="Arial" w:hAnsi="Arial" w:cs="Arial"/>
          <w:sz w:val="24"/>
          <w:szCs w:val="24"/>
        </w:rPr>
        <w:t xml:space="preserve">Pokud jde o stížnost pana </w:t>
      </w:r>
      <w:proofErr w:type="spellStart"/>
      <w:r w:rsidRPr="00BA2655">
        <w:rPr>
          <w:rFonts w:ascii="Arial" w:hAnsi="Arial" w:cs="Arial"/>
          <w:sz w:val="24"/>
          <w:szCs w:val="24"/>
        </w:rPr>
        <w:t>Rybolovleva</w:t>
      </w:r>
      <w:proofErr w:type="spellEnd"/>
      <w:r w:rsidRPr="00BA2655">
        <w:rPr>
          <w:rFonts w:ascii="Arial" w:hAnsi="Arial" w:cs="Arial"/>
          <w:sz w:val="24"/>
          <w:szCs w:val="24"/>
        </w:rPr>
        <w:t xml:space="preserve">, ESLP uvedl, že zprávy a rozhovory získané znalcem jmenovaným soudem, se netýkaly jeho osobních údajů a korespondence ani jeho výměny názorů s advokátkou ať už v soukromém kontextu nebo v rámci vztahu mezi advokátem a klientem. V případě stížnosti advokátky Tatiany </w:t>
      </w:r>
      <w:proofErr w:type="spellStart"/>
      <w:r w:rsidRPr="00BA2655">
        <w:rPr>
          <w:rFonts w:ascii="Arial" w:hAnsi="Arial" w:cs="Arial"/>
          <w:sz w:val="24"/>
          <w:szCs w:val="24"/>
        </w:rPr>
        <w:t>Bershedy</w:t>
      </w:r>
      <w:proofErr w:type="spellEnd"/>
      <w:r w:rsidRPr="00BA2655">
        <w:rPr>
          <w:rFonts w:ascii="Arial" w:hAnsi="Arial" w:cs="Arial"/>
          <w:sz w:val="24"/>
          <w:szCs w:val="24"/>
        </w:rPr>
        <w:t xml:space="preserve">, ukrajinské a švýcarské státní příslušnice zapsané ve Švýcarské advokátní komoře, ESLP rozhodl o porušení čl. 8 Úmluvy. Pan </w:t>
      </w:r>
      <w:proofErr w:type="spellStart"/>
      <w:r w:rsidRPr="00BA2655">
        <w:rPr>
          <w:rFonts w:ascii="Arial" w:hAnsi="Arial" w:cs="Arial"/>
          <w:sz w:val="24"/>
          <w:szCs w:val="24"/>
        </w:rPr>
        <w:t>Rybolovlev</w:t>
      </w:r>
      <w:proofErr w:type="spellEnd"/>
      <w:r w:rsidRPr="00BA2655">
        <w:rPr>
          <w:rFonts w:ascii="Arial" w:hAnsi="Arial" w:cs="Arial"/>
          <w:sz w:val="24"/>
          <w:szCs w:val="24"/>
        </w:rPr>
        <w:t xml:space="preserve"> žijící v Monaku byl stálým klientem advokátky-stěžovatelky. Stěžovatelka byla obviněna z nahrání tajné desetiminutové nahrávky – rozhovoru během soukromé večeře a narušení soukromí. V rámci své obhajoby předala stěžovatelka policii svůj mobilní telefon, aby mohla být prozkoumána inkriminovaná nahrávka a prokázána její dobrá víra. Vyšetřující soudce, s ohledem na monacké trestní právo, se rozhodl zadat rozsáhlý telekomunikační posudek soudem jmenovanému znalci bez jakéhokoli reálného omezení dat. Toto rozhodnutí zjevně překročilo kompetence soudce. Úkol znalce, který měl identifikovat všechny hovory, výměny textových zpráv nebo e-maily, které se, byť jen "nepřímo", týkaly probíhajícího případu, tak vedl k získání desítek tisíc textových zpráv, MMS, </w:t>
      </w:r>
      <w:proofErr w:type="spellStart"/>
      <w:r w:rsidRPr="00BA2655">
        <w:rPr>
          <w:rFonts w:ascii="Arial" w:hAnsi="Arial" w:cs="Arial"/>
          <w:sz w:val="24"/>
          <w:szCs w:val="24"/>
        </w:rPr>
        <w:t>iMessages</w:t>
      </w:r>
      <w:proofErr w:type="spellEnd"/>
      <w:r w:rsidRPr="00BA2655">
        <w:rPr>
          <w:rFonts w:ascii="Arial" w:hAnsi="Arial" w:cs="Arial"/>
          <w:sz w:val="24"/>
          <w:szCs w:val="24"/>
        </w:rPr>
        <w:t xml:space="preserve"> a e-mailů a telefonních hovorů z mobilního telefonu stěžovatelky za období více než tří let. Jednou ze zvláštností případu bylo, že stěžovatelka předtím, než předala svůj telefon (který používala pro soukromé i pracovní účely jako advokátka), požádala odborníka na informační technologie, aby vymazal značné množství údajů, které vůbec nesouvisely s předmětným řízením a jejím obviněním. Stěžovatelka tvrdila, že vyšetřující soudce překročil meze vyšetřování, které mu ukládala jeho pravomoc, a že úkony provedené znalcem porušily profesní tajemství. Stěžovatelka podala spolu s panem </w:t>
      </w:r>
      <w:proofErr w:type="spellStart"/>
      <w:r w:rsidRPr="00BA2655">
        <w:rPr>
          <w:rFonts w:ascii="Arial" w:hAnsi="Arial" w:cs="Arial"/>
          <w:sz w:val="24"/>
          <w:szCs w:val="24"/>
        </w:rPr>
        <w:t>Rybolovlevem</w:t>
      </w:r>
      <w:proofErr w:type="spellEnd"/>
      <w:r w:rsidRPr="00BA2655">
        <w:rPr>
          <w:rFonts w:ascii="Arial" w:hAnsi="Arial" w:cs="Arial"/>
          <w:sz w:val="24"/>
          <w:szCs w:val="24"/>
        </w:rPr>
        <w:t xml:space="preserve"> několik stížností napadajících průběh vyšetřování, zejména posudek telekomunikací a způsob, jakým bylo naloženo s jeho výsledky. Všechny tyto námitky byly zamítnuty oddělením předběžného řízení odvolacího soudu a následně i </w:t>
      </w:r>
      <w:r>
        <w:rPr>
          <w:rFonts w:ascii="Arial" w:hAnsi="Arial" w:cs="Arial"/>
          <w:sz w:val="24"/>
          <w:szCs w:val="24"/>
        </w:rPr>
        <w:t>odvolacím soudem.</w:t>
      </w:r>
      <w:r w:rsidRPr="00BA2655">
        <w:rPr>
          <w:rFonts w:ascii="Arial" w:hAnsi="Arial" w:cs="Arial"/>
          <w:sz w:val="24"/>
          <w:szCs w:val="24"/>
        </w:rPr>
        <w:t xml:space="preserve"> </w:t>
      </w:r>
      <w:r w:rsidRPr="004374F2">
        <w:rPr>
          <w:rFonts w:ascii="Arial" w:hAnsi="Arial" w:cs="Arial"/>
          <w:sz w:val="24"/>
          <w:szCs w:val="24"/>
        </w:rPr>
        <w:t>S odvoláním na článek 8 Úmluvy si stěžovatelé stěžovali na masivní, nerozlišující a nepřiměřené shromažďování všech "viditelných" - ale také vymazaných, a tudíž "neviditelných" - údajů. Uvedli, že tato neodůvodněná šetření byla prováděna bez ochrany</w:t>
      </w:r>
      <w:r>
        <w:rPr>
          <w:rFonts w:ascii="Arial" w:hAnsi="Arial" w:cs="Arial"/>
          <w:sz w:val="24"/>
          <w:szCs w:val="24"/>
        </w:rPr>
        <w:t xml:space="preserve"> důvěrnosti komunikace mezi advokátem a klientem.</w:t>
      </w:r>
    </w:p>
    <w:p w14:paraId="338F5D8D" w14:textId="21563FC7" w:rsidR="004374F2" w:rsidRPr="00BA2655" w:rsidRDefault="004374F2" w:rsidP="004374F2">
      <w:pPr>
        <w:jc w:val="both"/>
        <w:rPr>
          <w:rFonts w:ascii="Arial" w:hAnsi="Arial" w:cs="Arial"/>
          <w:sz w:val="24"/>
          <w:szCs w:val="24"/>
        </w:rPr>
      </w:pPr>
      <w:r w:rsidRPr="00BA2655">
        <w:rPr>
          <w:rFonts w:ascii="Arial" w:hAnsi="Arial" w:cs="Arial"/>
          <w:sz w:val="24"/>
          <w:szCs w:val="24"/>
        </w:rPr>
        <w:t xml:space="preserve">Při zkoumání otázky, zda došlo k zásahu do práv stěžovatelky, ESLP konstatoval, že nelze rozumně uvažovat o tom, že by stěžovatelka vydala svůj mobilní telefon, pokud by se domnívala, že data vymazaná z jeho paměti budou obnovena a použita. Přestože byla advokátkou, a tedy právním profesionálem, měla legitimní očekávání, že zprávy a konverzace, které s pomocí odborníka na informační technologie učinila "neviditelnými", budou absolutně chráněny/budou důvěrné. Z úhlu pohledu článku 8 Úmluvy byla proto stěžovatelka oprávněna tvrdit, že se stala obětí zásahu do jejího </w:t>
      </w:r>
      <w:r w:rsidRPr="00BA2655">
        <w:rPr>
          <w:rFonts w:ascii="Arial" w:hAnsi="Arial" w:cs="Arial"/>
          <w:sz w:val="24"/>
          <w:szCs w:val="24"/>
        </w:rPr>
        <w:lastRenderedPageBreak/>
        <w:t xml:space="preserve">práva na respektování soukromého života a korespondence, které lze svou intenzitou a účinky přirovnat k prohlídkám a zabavení věcí. </w:t>
      </w:r>
      <w:r w:rsidRPr="004374F2">
        <w:rPr>
          <w:rFonts w:ascii="Arial" w:hAnsi="Arial" w:cs="Arial"/>
          <w:sz w:val="24"/>
          <w:szCs w:val="24"/>
        </w:rPr>
        <w:t>Dále ESLP uvedl, že ve vnitrostátním trestním řízení</w:t>
      </w:r>
      <w:r>
        <w:rPr>
          <w:rFonts w:ascii="Arial" w:hAnsi="Arial" w:cs="Arial"/>
          <w:sz w:val="24"/>
          <w:szCs w:val="24"/>
        </w:rPr>
        <w:t xml:space="preserve"> existuje</w:t>
      </w:r>
      <w:r w:rsidRPr="004374F2">
        <w:rPr>
          <w:rFonts w:ascii="Arial" w:hAnsi="Arial" w:cs="Arial"/>
          <w:sz w:val="24"/>
          <w:szCs w:val="24"/>
        </w:rPr>
        <w:t xml:space="preserve"> právní úprava, která se vztahuje na prohlídky a zabavení/zajištění věcí ve vztahu k advokátům. Navzdory zjevné podobnosti mezi účinky těchto opatření a získání dat z mobilního telefonu stěžovatelky, které provedl znalec, se vyšetřující soudce – podporovaný odvolacími </w:t>
      </w:r>
      <w:proofErr w:type="gramStart"/>
      <w:r w:rsidRPr="004374F2">
        <w:rPr>
          <w:rFonts w:ascii="Arial" w:hAnsi="Arial" w:cs="Arial"/>
          <w:sz w:val="24"/>
          <w:szCs w:val="24"/>
        </w:rPr>
        <w:t>soudy - rozhodl</w:t>
      </w:r>
      <w:proofErr w:type="gramEnd"/>
      <w:r w:rsidRPr="004374F2">
        <w:rPr>
          <w:rFonts w:ascii="Arial" w:hAnsi="Arial" w:cs="Arial"/>
          <w:sz w:val="24"/>
          <w:szCs w:val="24"/>
        </w:rPr>
        <w:t xml:space="preserve"> neuplatnit na stěžovatelku žádné z ustanovení těchto ochranných rámců, přestože používala svůj mobilní telefon jak pro soukromé, tak pro profesní účely. Podobnost mezi účinky prohlídky a zabavení/zajištění věcí a prohledání mobilního telefonu měla vést vyšetřujícího soudce k tomu, aby stěžovatelce poskytl záruky odpovídající jejímu postavení advokátky, zejména proto, že byla v předmětném řízení osobou obviněnou. I když ESLP uznal zvláštnosti tohoto případu, a zopakoval, že státy mají povinnost chránit důvěrnost výměny informací mezi advokáty a jejich klienty a profesní tajemství.</w:t>
      </w:r>
      <w:r w:rsidRPr="00BA2655">
        <w:rPr>
          <w:rFonts w:ascii="Arial" w:hAnsi="Arial" w:cs="Arial"/>
          <w:sz w:val="24"/>
          <w:szCs w:val="24"/>
        </w:rPr>
        <w:t xml:space="preserve"> Musel proto ověřit, zda byly dozorovými soudy poskytnuty dostatečné procesní záruky. Podle názoru ESLP tedy nebyl abstraktně sporný právní základ jako takový, ale konkrétní okolnosti jeho provádění. ESLP konstatoval, že postup soudce sledoval legitimní cíl, ale shledal, že jeho nezbytnost byla zpochybněna nedostatky v průběhu vyšetřování. Zatímco toto šetření se zjevně omezovalo na technickou analýzu záznamu a věcné posouzení slov nahrávky, která trvala pouhých 10 minut, zadání, které vyšetřující soudce svěřil znalci, bylo od počátku koncipováno tak, aby překračovalo a rozšiřovalo rozsah soudcovských pravomocí. Rozhodnutí, kterým byl znalec pověřen, bylo formulováno velmi široce a nepřesně, což mohlo vést k riziku zneužití a svévole. Z výslechu účastníka řízení navíc vyplynulo, že původní vyšetřování se odklonilo od vyšetřování obvinění z narušení soukromí, na které se měl soudce omezit. Ukázalo se tedy, že bylo zahájeno vyšetřování, které mělo příliš široký záběr a jen </w:t>
      </w:r>
      <w:r>
        <w:rPr>
          <w:rFonts w:ascii="Arial" w:hAnsi="Arial" w:cs="Arial"/>
          <w:sz w:val="24"/>
          <w:szCs w:val="24"/>
        </w:rPr>
        <w:t>„</w:t>
      </w:r>
      <w:r w:rsidRPr="00BA2655">
        <w:rPr>
          <w:rFonts w:ascii="Arial" w:hAnsi="Arial" w:cs="Arial"/>
          <w:sz w:val="24"/>
          <w:szCs w:val="24"/>
        </w:rPr>
        <w:t>vzdáleně a uměle</w:t>
      </w:r>
      <w:r>
        <w:rPr>
          <w:rFonts w:ascii="Arial" w:hAnsi="Arial" w:cs="Arial"/>
          <w:sz w:val="24"/>
          <w:szCs w:val="24"/>
        </w:rPr>
        <w:t>“</w:t>
      </w:r>
      <w:r w:rsidRPr="00BA2655">
        <w:rPr>
          <w:rFonts w:ascii="Arial" w:hAnsi="Arial" w:cs="Arial"/>
          <w:sz w:val="24"/>
          <w:szCs w:val="24"/>
        </w:rPr>
        <w:t xml:space="preserve"> souviselo s pravomocí soudce. Vzhledem k tomu, že vnitrostátní právo nestanovilo, že by zadání znalce mělo být zpočátku předmětem kontradiktorního řízení, a tedy i případného napadení ze strany stran, bylo obzvláště důležité zavést přísné záruky a přísnou soudní kontrolu. Takové záruky byly obzvláště důležité, protože </w:t>
      </w:r>
      <w:r>
        <w:rPr>
          <w:rFonts w:ascii="Arial" w:hAnsi="Arial" w:cs="Arial"/>
          <w:sz w:val="24"/>
          <w:szCs w:val="24"/>
        </w:rPr>
        <w:t>obviněná</w:t>
      </w:r>
      <w:r w:rsidRPr="00BA2655">
        <w:rPr>
          <w:rFonts w:ascii="Arial" w:hAnsi="Arial" w:cs="Arial"/>
          <w:sz w:val="24"/>
          <w:szCs w:val="24"/>
        </w:rPr>
        <w:t xml:space="preserve"> byla advokátka a údaje, které si přála utajit, byly shromážděny z mobilního telefonu, který používala pro profesní účely. </w:t>
      </w:r>
      <w:r w:rsidRPr="004374F2">
        <w:rPr>
          <w:rFonts w:ascii="Arial" w:hAnsi="Arial" w:cs="Arial"/>
          <w:sz w:val="24"/>
          <w:szCs w:val="24"/>
        </w:rPr>
        <w:t>ESLP vyjádřil politování nad tím, že vyšetřující soudce od počátku neuplatnil rámec pro ochranu advokátní mlčenlivosti v tomto případě, zejména když vnitrostátní právo vyžaduje záruky pro opatření, která jsou sice odlišná, ale mají srovnatelné důsledky, jako je prohlídka a zajištění/zabavení věci. Navíc poznamenal, že tento počáteční nedostatek nebyl napraven žádnou následnou soudní kontrolou. Zejména skutečnost, že vyšetřující soudce věděl o existenci vymazaných zpráv, které mohly obsahovat informace, na něž se vztahuje profesní tajemství, jelikož telefon byl používán jak pro soukromé, tak pro profesní účely</w:t>
      </w:r>
      <w:r>
        <w:rPr>
          <w:rFonts w:ascii="Arial" w:hAnsi="Arial" w:cs="Arial"/>
          <w:sz w:val="24"/>
          <w:szCs w:val="24"/>
        </w:rPr>
        <w:t xml:space="preserve">, </w:t>
      </w:r>
      <w:r w:rsidRPr="004374F2">
        <w:rPr>
          <w:rFonts w:ascii="Arial" w:hAnsi="Arial" w:cs="Arial"/>
          <w:sz w:val="24"/>
          <w:szCs w:val="24"/>
        </w:rPr>
        <w:t xml:space="preserve">měl přinejmenším </w:t>
      </w:r>
      <w:r>
        <w:rPr>
          <w:rFonts w:ascii="Arial" w:hAnsi="Arial" w:cs="Arial"/>
          <w:sz w:val="24"/>
          <w:szCs w:val="24"/>
        </w:rPr>
        <w:t xml:space="preserve">zohlednit </w:t>
      </w:r>
      <w:r w:rsidRPr="004374F2">
        <w:rPr>
          <w:rFonts w:ascii="Arial" w:hAnsi="Arial" w:cs="Arial"/>
          <w:sz w:val="24"/>
          <w:szCs w:val="24"/>
        </w:rPr>
        <w:t>postavení stěžovatelky jako advokátky. To se však nestalo, přestože vnitrostátní právo výslovně stanoví různá ochranná opatření. ESLP dospěl k závěru, že skutečně došlo k zásahu do práv stěžovatelky podle článku 8 Úmluvy.</w:t>
      </w:r>
    </w:p>
    <w:p w14:paraId="216DD95A" w14:textId="1C81D44A" w:rsidR="00475242" w:rsidRPr="00730550" w:rsidRDefault="004374F2" w:rsidP="004374F2">
      <w:pPr>
        <w:jc w:val="both"/>
        <w:rPr>
          <w:rFonts w:ascii="Arial" w:hAnsi="Arial" w:cs="Arial"/>
          <w:sz w:val="24"/>
          <w:szCs w:val="24"/>
        </w:rPr>
      </w:pPr>
      <w:r w:rsidRPr="00BA2655">
        <w:rPr>
          <w:rFonts w:ascii="Arial" w:hAnsi="Arial" w:cs="Arial"/>
          <w:sz w:val="24"/>
          <w:szCs w:val="24"/>
        </w:rPr>
        <w:t xml:space="preserve">Celé rozhodnutí je k dispozici ve francouzském jazyce zde: </w:t>
      </w:r>
      <w:hyperlink r:id="rId37" w:history="1">
        <w:r w:rsidRPr="00BA2655">
          <w:rPr>
            <w:rStyle w:val="Hypertextovodkaz"/>
            <w:rFonts w:ascii="Arial" w:hAnsi="Arial" w:cs="Arial"/>
            <w:sz w:val="24"/>
            <w:szCs w:val="24"/>
          </w:rPr>
          <w:t>https://hudoc.echr.coe.int/fre?i=001-234090</w:t>
        </w:r>
      </w:hyperlink>
      <w:r w:rsidRPr="00BA2655">
        <w:rPr>
          <w:rFonts w:ascii="Arial" w:hAnsi="Arial" w:cs="Arial"/>
          <w:sz w:val="24"/>
          <w:szCs w:val="24"/>
        </w:rPr>
        <w:t xml:space="preserve"> </w:t>
      </w:r>
    </w:p>
    <w:p w14:paraId="1088121A" w14:textId="0C0C341F" w:rsidR="004374F2" w:rsidRPr="00A85192" w:rsidRDefault="0026610A" w:rsidP="004374F2">
      <w:pPr>
        <w:jc w:val="both"/>
        <w:rPr>
          <w:rFonts w:ascii="Arial" w:hAnsi="Arial" w:cs="Arial"/>
          <w:b/>
          <w:bCs/>
          <w:sz w:val="24"/>
          <w:szCs w:val="24"/>
        </w:rPr>
      </w:pPr>
      <w:r>
        <w:rPr>
          <w:rFonts w:cs="Calibri"/>
          <w:noProof/>
          <w:sz w:val="24"/>
          <w:szCs w:val="24"/>
        </w:rPr>
        <w:lastRenderedPageBreak/>
        <w:drawing>
          <wp:inline distT="0" distB="0" distL="0" distR="0" wp14:anchorId="56E7FCFF" wp14:editId="1CE1B607">
            <wp:extent cx="372110" cy="372110"/>
            <wp:effectExtent l="0" t="0" r="8890" b="8890"/>
            <wp:docPr id="1907954893" name="Obrázek 190795489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Pr>
          <w:rFonts w:ascii="Arial" w:hAnsi="Arial" w:cs="Arial"/>
          <w:b/>
          <w:bCs/>
          <w:color w:val="4472C4" w:themeColor="accent1"/>
          <w:sz w:val="32"/>
          <w:szCs w:val="32"/>
        </w:rPr>
        <w:t>ESLP:</w:t>
      </w:r>
      <w:r w:rsidRPr="004374F2">
        <w:rPr>
          <w:rFonts w:ascii="Arial" w:hAnsi="Arial" w:cs="Arial"/>
          <w:b/>
          <w:bCs/>
          <w:color w:val="4472C4" w:themeColor="accent1"/>
          <w:sz w:val="32"/>
          <w:szCs w:val="32"/>
        </w:rPr>
        <w:t xml:space="preserve"> </w:t>
      </w:r>
      <w:r w:rsidR="004374F2" w:rsidRPr="004374F2">
        <w:rPr>
          <w:rFonts w:ascii="Arial" w:hAnsi="Arial" w:cs="Arial"/>
          <w:b/>
          <w:bCs/>
          <w:color w:val="4472C4" w:themeColor="accent1"/>
          <w:sz w:val="32"/>
          <w:szCs w:val="32"/>
        </w:rPr>
        <w:t xml:space="preserve">Rozsudek ve věci </w:t>
      </w:r>
      <w:proofErr w:type="spellStart"/>
      <w:r w:rsidR="004374F2" w:rsidRPr="004374F2">
        <w:rPr>
          <w:rFonts w:ascii="Arial" w:hAnsi="Arial" w:cs="Arial"/>
          <w:b/>
          <w:bCs/>
          <w:color w:val="4472C4" w:themeColor="accent1"/>
          <w:sz w:val="32"/>
          <w:szCs w:val="32"/>
        </w:rPr>
        <w:t>Pisanski</w:t>
      </w:r>
      <w:proofErr w:type="spellEnd"/>
      <w:r w:rsidR="004374F2" w:rsidRPr="004374F2">
        <w:rPr>
          <w:rFonts w:ascii="Arial" w:hAnsi="Arial" w:cs="Arial"/>
          <w:b/>
          <w:bCs/>
          <w:color w:val="4472C4" w:themeColor="accent1"/>
          <w:sz w:val="32"/>
          <w:szCs w:val="32"/>
        </w:rPr>
        <w:t xml:space="preserve"> proti Chorvatsku (stížnost č. 28794/18), ze dne 4. června 2024</w:t>
      </w:r>
    </w:p>
    <w:p w14:paraId="4F2B39EC" w14:textId="77777777" w:rsidR="004374F2" w:rsidRPr="00A85192" w:rsidRDefault="004374F2" w:rsidP="004374F2">
      <w:pPr>
        <w:jc w:val="both"/>
        <w:rPr>
          <w:rFonts w:ascii="Arial" w:hAnsi="Arial" w:cs="Arial"/>
          <w:sz w:val="24"/>
          <w:szCs w:val="24"/>
        </w:rPr>
      </w:pPr>
      <w:r w:rsidRPr="00A85192">
        <w:rPr>
          <w:rFonts w:ascii="Arial" w:hAnsi="Arial" w:cs="Arial"/>
          <w:sz w:val="24"/>
          <w:szCs w:val="24"/>
        </w:rPr>
        <w:t xml:space="preserve">Evropský soud pro lidská práva jednomyslně rozhodl, že ve věci </w:t>
      </w:r>
      <w:proofErr w:type="spellStart"/>
      <w:r w:rsidRPr="00A85192">
        <w:rPr>
          <w:rFonts w:ascii="Arial" w:hAnsi="Arial" w:cs="Arial"/>
          <w:sz w:val="24"/>
          <w:szCs w:val="24"/>
        </w:rPr>
        <w:t>Pisanski</w:t>
      </w:r>
      <w:proofErr w:type="spellEnd"/>
      <w:r w:rsidRPr="00A85192">
        <w:rPr>
          <w:rFonts w:ascii="Arial" w:hAnsi="Arial" w:cs="Arial"/>
          <w:sz w:val="24"/>
          <w:szCs w:val="24"/>
        </w:rPr>
        <w:t xml:space="preserve"> proti Chorvatsku došlo k porušení článku 10 Úmluvy o ochraně lidských práv a základních svobod (svoboda projevu).</w:t>
      </w:r>
    </w:p>
    <w:p w14:paraId="4000309B" w14:textId="730A5FE4" w:rsidR="004374F2" w:rsidRPr="00A85192" w:rsidRDefault="004374F2" w:rsidP="004374F2">
      <w:pPr>
        <w:jc w:val="both"/>
        <w:rPr>
          <w:rFonts w:ascii="Arial" w:hAnsi="Arial" w:cs="Arial"/>
          <w:sz w:val="24"/>
          <w:szCs w:val="24"/>
        </w:rPr>
      </w:pPr>
      <w:r w:rsidRPr="00A85192">
        <w:rPr>
          <w:rFonts w:ascii="Arial" w:hAnsi="Arial" w:cs="Arial"/>
          <w:sz w:val="24"/>
          <w:szCs w:val="24"/>
        </w:rPr>
        <w:t xml:space="preserve">Věc se týkala uložení pokuty advokátovi za pohrdání soudem za výroky pronesené v rámci odvolacího řízení, v němž zastupoval svého klienta. </w:t>
      </w:r>
      <w:r>
        <w:rPr>
          <w:rFonts w:ascii="Arial" w:hAnsi="Arial" w:cs="Arial"/>
          <w:sz w:val="24"/>
          <w:szCs w:val="24"/>
        </w:rPr>
        <w:t xml:space="preserve"> </w:t>
      </w:r>
      <w:r w:rsidRPr="00A85192">
        <w:rPr>
          <w:rFonts w:ascii="Arial" w:hAnsi="Arial" w:cs="Arial"/>
          <w:sz w:val="24"/>
          <w:szCs w:val="24"/>
        </w:rPr>
        <w:t xml:space="preserve">Klient stěžovatele se v rámci soudního řízení domáhal zaplacení pohledávky včetně úroků. Návrh na výkon rozhodnutí byl zamítnut Městským soudem a proti tomuto rozhodnutí podal stěžovatel odvolání, ve kterém zkritizoval názor soudu. Krajský soud rozhodnutí Městského soudu zrušil a věc vrátil k novému projednání. Zároveň však uložil Městskému soudu, aby přezkoumal, zda vyjádření stěžovatele v odvolání nepředstavuje pohrdání tímto soudem. Městský soud rozhodl v meritu věci – pohledávce klienta tak, že jeho pohledávka byla uspokojena v plné výši. Mezitím vydal též rozhodnutí, ve kterém uložil stěžovateli pokutu ve výši 2000 chorvatských kun za pohrdání soudem. Stěžovatel se proti rozhodnutí neúspěšně odvolal a svou cestu završil ústavní stížností, která byla Chorvatským ústavním soudem zamítnuta. S odvoláním na článek 10 Úmluvy podal pan </w:t>
      </w:r>
      <w:proofErr w:type="spellStart"/>
      <w:r w:rsidRPr="00A85192">
        <w:rPr>
          <w:rFonts w:ascii="Arial" w:hAnsi="Arial" w:cs="Arial"/>
          <w:sz w:val="24"/>
          <w:szCs w:val="24"/>
        </w:rPr>
        <w:t>Pisanski</w:t>
      </w:r>
      <w:proofErr w:type="spellEnd"/>
      <w:r w:rsidRPr="00A85192">
        <w:rPr>
          <w:rFonts w:ascii="Arial" w:hAnsi="Arial" w:cs="Arial"/>
          <w:sz w:val="24"/>
          <w:szCs w:val="24"/>
        </w:rPr>
        <w:t xml:space="preserve"> stížnost k ESLP, ve které si stěžoval na rozhodnutí soudu o uložení pokuty za pohrdání soudem a fakt, že byla porušena jeho svoboda projevu. </w:t>
      </w:r>
    </w:p>
    <w:p w14:paraId="62557875" w14:textId="77777777" w:rsidR="004374F2" w:rsidRPr="00A85192" w:rsidRDefault="004374F2" w:rsidP="004374F2">
      <w:pPr>
        <w:jc w:val="both"/>
        <w:rPr>
          <w:rFonts w:ascii="Arial" w:hAnsi="Arial" w:cs="Arial"/>
          <w:sz w:val="24"/>
          <w:szCs w:val="24"/>
        </w:rPr>
      </w:pPr>
      <w:r w:rsidRPr="00A85192">
        <w:rPr>
          <w:rFonts w:ascii="Arial" w:hAnsi="Arial" w:cs="Arial"/>
          <w:sz w:val="24"/>
          <w:szCs w:val="24"/>
        </w:rPr>
        <w:t>Se stěžovatelem bylo též zahájeno kárné řízení před Chorvatskou advokátní komorou (CHAK), která stěžovatele shledala nevinným, a to i v následném odvolacím kárném řízení. CHAK zdůraznila, že věc se týkala svobody projevu advokáta při výkonu jeho povinností, která má v demokratické společnosti prvořadý význam. Stěžovatel pronesl sporné výroky v odvolání, o nichž veřejnost nevěděla. Svými výroky kritizoval judikaturu použitou v dané věci, nikoliv konkrétního soudce, a jeho odvolání bylo úspěšné. Proto, i když jeho výroky byly na hranici přijatelné kritiky, nebyly urážlivé nebo způsobilé „podkopat“ autoritu soudů, které podléhají širším hranicím přijatelné kritiky.</w:t>
      </w:r>
    </w:p>
    <w:p w14:paraId="65207178" w14:textId="0AA57152" w:rsidR="004374F2" w:rsidRPr="004374F2" w:rsidRDefault="004374F2" w:rsidP="004374F2">
      <w:pPr>
        <w:jc w:val="both"/>
        <w:rPr>
          <w:rFonts w:ascii="Arial" w:hAnsi="Arial" w:cs="Arial"/>
        </w:rPr>
      </w:pPr>
      <w:r w:rsidRPr="00A85192">
        <w:rPr>
          <w:rFonts w:ascii="Arial" w:hAnsi="Arial" w:cs="Arial"/>
          <w:sz w:val="24"/>
          <w:szCs w:val="24"/>
        </w:rPr>
        <w:t xml:space="preserve">ESLP rozhodl, že uložení pokuty stěžovateli za pohrdání soudem představovalo zásah do jeho práva na svobodu projevu, na tomto se ostatně shodly obě strany. ESLP se sice domníval, že dotčený zásah sledoval legitimní cíl, kterým bylo zachování autority soudní moci, nicméně v rámci posouzení, zda byl tento zásah nezbytný v demokratické společnosti došel k závěru, že nikoliv. </w:t>
      </w:r>
      <w:r w:rsidRPr="004374F2">
        <w:rPr>
          <w:rFonts w:ascii="Arial" w:hAnsi="Arial" w:cs="Arial"/>
          <w:sz w:val="24"/>
          <w:szCs w:val="24"/>
        </w:rPr>
        <w:t xml:space="preserve">Obecné zásady pro posouzení nezbytnosti zásahu do výkonu svobody projevu v případech pohrdání soudem byly formulovány v rozsudku </w:t>
      </w:r>
      <w:proofErr w:type="spellStart"/>
      <w:r w:rsidRPr="004374F2">
        <w:rPr>
          <w:rFonts w:ascii="Arial" w:hAnsi="Arial" w:cs="Arial"/>
          <w:i/>
          <w:sz w:val="24"/>
          <w:szCs w:val="24"/>
        </w:rPr>
        <w:t>Radobuljac</w:t>
      </w:r>
      <w:proofErr w:type="spellEnd"/>
      <w:r w:rsidRPr="004374F2">
        <w:rPr>
          <w:rFonts w:ascii="Arial" w:hAnsi="Arial" w:cs="Arial"/>
          <w:i/>
          <w:sz w:val="24"/>
          <w:szCs w:val="24"/>
        </w:rPr>
        <w:t xml:space="preserve">. </w:t>
      </w:r>
      <w:r w:rsidRPr="004374F2">
        <w:rPr>
          <w:rFonts w:ascii="Arial" w:hAnsi="Arial" w:cs="Arial"/>
          <w:sz w:val="24"/>
          <w:szCs w:val="24"/>
        </w:rPr>
        <w:t xml:space="preserve">ESLP uvedl, že vnitrostátní soudy při posuzování případu nezohlednily výroky stěžovatele v kontextu a v prostředí, ve kterém byly vysloveny. V tomto ohledu ESLP konstatoval, že stěžovatel pronesl sporné výroky v rámci soudního řízení, v němž vystupoval jako advokát, a že jeho výroky se týkaly tohoto řízení. Konkrétně byly jeho výroky sděleny v rámci odvolání proti rozhodnutí, kterým byl zamítnut jeho návrh na výkon rozhodnutí, tedy rozhodnutí, které bylo v rozporu se zájmy jeho klienta. To znamená, že byly proneseny v prostředí, kde měla být přirozeně důrazně hájena práva jeho klienta. Dále to znamená, že na rozdíl od kritiky vyslovené např. v médiích byly výroky stěžovatele učiněny v rámci interní komunikace mezi stěžovatelem jako advokátem a odvolacím soudem, o níž veřejnost </w:t>
      </w:r>
      <w:r w:rsidRPr="004374F2">
        <w:rPr>
          <w:rFonts w:ascii="Arial" w:hAnsi="Arial" w:cs="Arial"/>
          <w:sz w:val="24"/>
          <w:szCs w:val="24"/>
        </w:rPr>
        <w:lastRenderedPageBreak/>
        <w:t xml:space="preserve">nevěděla. ELSP je též přesvědčen, že stěžovatelovy výroky neměly výhradně za cíl urazit soud. </w:t>
      </w:r>
      <w:r w:rsidRPr="004374F2">
        <w:rPr>
          <w:rFonts w:ascii="Arial" w:hAnsi="Arial" w:cs="Arial"/>
          <w:iCs/>
          <w:sz w:val="24"/>
          <w:szCs w:val="24"/>
        </w:rPr>
        <w:t>Je sice pravda, že napadené výroky byly poněkud diskutabilní a barvité a že jejich tón byl jízlivý, ale použití takového tónu při komentování výkonu spravedlnosti je považováno za slučitelné s článkem 10. Konečně nelze přehlédnout, že odvolání stěžovatele, obsahující sporné výroky, bylo úspěšné a že Krajský soud potvrdil jeho názor, že jím tak vehementně kritizovaný výklad byl skutečně nesprávný. ESLP rovněž nepřehlédl ani skutečnost, že v kárném řízení vedeném před Chorvatskou advokátní komorou byl stěžovatel shledán nevinným. ELSP proto konstatoval, že došlo k porušení článku 10 Úmluvy.</w:t>
      </w:r>
    </w:p>
    <w:p w14:paraId="28AE0234" w14:textId="77777777" w:rsidR="004374F2" w:rsidRPr="00A85192" w:rsidRDefault="004374F2" w:rsidP="004374F2">
      <w:pPr>
        <w:pStyle w:val="JuPara"/>
        <w:ind w:firstLine="0"/>
        <w:rPr>
          <w:rFonts w:ascii="Arial" w:hAnsi="Arial" w:cs="Arial"/>
          <w:iCs/>
          <w:lang w:val="cs-CZ"/>
        </w:rPr>
      </w:pPr>
    </w:p>
    <w:p w14:paraId="3697572A" w14:textId="77777777" w:rsidR="004374F2" w:rsidRPr="00A85192" w:rsidRDefault="004374F2" w:rsidP="004374F2">
      <w:pPr>
        <w:pStyle w:val="JuPara"/>
        <w:ind w:firstLine="0"/>
        <w:rPr>
          <w:rFonts w:ascii="Arial" w:hAnsi="Arial" w:cs="Arial"/>
          <w:lang w:val="cs-CZ"/>
        </w:rPr>
      </w:pPr>
      <w:r w:rsidRPr="00A85192">
        <w:rPr>
          <w:rFonts w:ascii="Arial" w:hAnsi="Arial" w:cs="Arial"/>
          <w:lang w:val="cs-CZ"/>
        </w:rPr>
        <w:t xml:space="preserve">Celé znění rozsudku je k dispozici v anglickém jazyce zde: </w:t>
      </w:r>
      <w:hyperlink r:id="rId38" w:history="1">
        <w:r w:rsidRPr="00A85192">
          <w:rPr>
            <w:rStyle w:val="Hypertextovodkaz"/>
            <w:rFonts w:ascii="Arial" w:hAnsi="Arial" w:cs="Arial"/>
            <w:lang w:val="cs-CZ"/>
          </w:rPr>
          <w:t>https://hudoc.echr.coe.int/eng?i=001-233985</w:t>
        </w:r>
      </w:hyperlink>
      <w:r w:rsidRPr="00A85192">
        <w:rPr>
          <w:rFonts w:ascii="Arial" w:hAnsi="Arial" w:cs="Arial"/>
          <w:lang w:val="cs-CZ"/>
        </w:rPr>
        <w:t xml:space="preserve"> </w:t>
      </w:r>
    </w:p>
    <w:p w14:paraId="66F7AAAA" w14:textId="77777777" w:rsidR="004374F2" w:rsidRPr="00A85192" w:rsidRDefault="004374F2" w:rsidP="004374F2">
      <w:pPr>
        <w:jc w:val="both"/>
        <w:rPr>
          <w:rFonts w:ascii="Arial" w:hAnsi="Arial" w:cs="Arial"/>
          <w:sz w:val="24"/>
          <w:szCs w:val="24"/>
        </w:rPr>
      </w:pPr>
    </w:p>
    <w:p w14:paraId="6A23E25B" w14:textId="465B35BE" w:rsidR="0026610A" w:rsidRPr="000019F1" w:rsidRDefault="0026610A" w:rsidP="004374F2">
      <w:pPr>
        <w:jc w:val="both"/>
        <w:rPr>
          <w:rFonts w:ascii="Arial" w:hAnsi="Arial" w:cs="Arial"/>
          <w:sz w:val="24"/>
          <w:szCs w:val="24"/>
        </w:rPr>
      </w:pPr>
    </w:p>
    <w:p w14:paraId="070BC705" w14:textId="7DAFA3DB" w:rsidR="0026610A" w:rsidRPr="0026610A" w:rsidRDefault="0026610A" w:rsidP="00BB0BB3">
      <w:pPr>
        <w:shd w:val="clear" w:color="auto" w:fill="FFFFFF"/>
        <w:spacing w:line="240" w:lineRule="auto"/>
        <w:jc w:val="both"/>
        <w:outlineLvl w:val="0"/>
        <w:rPr>
          <w:rFonts w:ascii="Arial" w:hAnsi="Arial" w:cs="Arial"/>
          <w:b/>
          <w:bCs/>
          <w:color w:val="4472C4" w:themeColor="accent1"/>
          <w:sz w:val="32"/>
          <w:szCs w:val="32"/>
        </w:rPr>
      </w:pPr>
    </w:p>
    <w:p w14:paraId="1BD7E742" w14:textId="0A1C50B2" w:rsidR="00D70BB9" w:rsidRDefault="00D70BB9" w:rsidP="000803D0">
      <w:pPr>
        <w:spacing w:line="240" w:lineRule="auto"/>
        <w:jc w:val="right"/>
      </w:pPr>
      <w:r w:rsidRPr="002302A8">
        <w:rPr>
          <w:rFonts w:ascii="Arial" w:hAnsi="Arial" w:cs="Arial"/>
          <w:b/>
          <w:color w:val="4472C4" w:themeColor="accent1"/>
          <w:sz w:val="28"/>
          <w:szCs w:val="28"/>
        </w:rPr>
        <w:t>Odbor mezinárodních vztahů ČAK</w:t>
      </w:r>
    </w:p>
    <w:sectPr w:rsidR="00D70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669819923" o:spid="_x0000_i1026" type="#_x0000_t75" alt="A picture containing text, clipart&#10;&#10;Description automatically generated" style="width:29.25pt;height:29.25pt;visibility:visible;mso-wrap-style:square" o:bullet="t">
        <v:imagedata r:id="rId1" o:title="A picture containing text, clipart&#10;&#10;Description automatically generated"/>
      </v:shape>
    </w:pict>
  </w:numPicBullet>
  <w:abstractNum w:abstractNumId="0" w15:restartNumberingAfterBreak="0">
    <w:nsid w:val="07993079"/>
    <w:multiLevelType w:val="multilevel"/>
    <w:tmpl w:val="BFE0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458A"/>
    <w:multiLevelType w:val="multilevel"/>
    <w:tmpl w:val="F31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2AB6"/>
    <w:multiLevelType w:val="multilevel"/>
    <w:tmpl w:val="93E43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60ADF"/>
    <w:multiLevelType w:val="multilevel"/>
    <w:tmpl w:val="5F30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14DC5"/>
    <w:multiLevelType w:val="hybridMultilevel"/>
    <w:tmpl w:val="3320E4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73475"/>
    <w:multiLevelType w:val="hybridMultilevel"/>
    <w:tmpl w:val="098489EA"/>
    <w:lvl w:ilvl="0" w:tplc="04050001">
      <w:start w:val="1"/>
      <w:numFmt w:val="bullet"/>
      <w:lvlText w:val=""/>
      <w:lvlJc w:val="left"/>
      <w:pPr>
        <w:ind w:left="977" w:hanging="360"/>
      </w:pPr>
      <w:rPr>
        <w:rFonts w:ascii="Symbol" w:hAnsi="Symbol" w:hint="default"/>
      </w:rPr>
    </w:lvl>
    <w:lvl w:ilvl="1" w:tplc="04050003">
      <w:start w:val="1"/>
      <w:numFmt w:val="bullet"/>
      <w:lvlText w:val="o"/>
      <w:lvlJc w:val="left"/>
      <w:pPr>
        <w:ind w:left="1697" w:hanging="360"/>
      </w:pPr>
      <w:rPr>
        <w:rFonts w:ascii="Courier New" w:hAnsi="Courier New" w:cs="Courier New" w:hint="default"/>
      </w:rPr>
    </w:lvl>
    <w:lvl w:ilvl="2" w:tplc="04050005">
      <w:start w:val="1"/>
      <w:numFmt w:val="bullet"/>
      <w:lvlText w:val=""/>
      <w:lvlJc w:val="left"/>
      <w:pPr>
        <w:ind w:left="2417" w:hanging="360"/>
      </w:pPr>
      <w:rPr>
        <w:rFonts w:ascii="Wingdings" w:hAnsi="Wingdings" w:hint="default"/>
      </w:rPr>
    </w:lvl>
    <w:lvl w:ilvl="3" w:tplc="04050001">
      <w:start w:val="1"/>
      <w:numFmt w:val="bullet"/>
      <w:lvlText w:val=""/>
      <w:lvlJc w:val="left"/>
      <w:pPr>
        <w:ind w:left="3137" w:hanging="360"/>
      </w:pPr>
      <w:rPr>
        <w:rFonts w:ascii="Symbol" w:hAnsi="Symbol" w:hint="default"/>
      </w:rPr>
    </w:lvl>
    <w:lvl w:ilvl="4" w:tplc="04050003">
      <w:start w:val="1"/>
      <w:numFmt w:val="bullet"/>
      <w:lvlText w:val="o"/>
      <w:lvlJc w:val="left"/>
      <w:pPr>
        <w:ind w:left="3857" w:hanging="360"/>
      </w:pPr>
      <w:rPr>
        <w:rFonts w:ascii="Courier New" w:hAnsi="Courier New" w:cs="Courier New" w:hint="default"/>
      </w:rPr>
    </w:lvl>
    <w:lvl w:ilvl="5" w:tplc="04050005">
      <w:start w:val="1"/>
      <w:numFmt w:val="bullet"/>
      <w:lvlText w:val=""/>
      <w:lvlJc w:val="left"/>
      <w:pPr>
        <w:ind w:left="4577" w:hanging="360"/>
      </w:pPr>
      <w:rPr>
        <w:rFonts w:ascii="Wingdings" w:hAnsi="Wingdings" w:hint="default"/>
      </w:rPr>
    </w:lvl>
    <w:lvl w:ilvl="6" w:tplc="04050001">
      <w:start w:val="1"/>
      <w:numFmt w:val="bullet"/>
      <w:lvlText w:val=""/>
      <w:lvlJc w:val="left"/>
      <w:pPr>
        <w:ind w:left="5297" w:hanging="360"/>
      </w:pPr>
      <w:rPr>
        <w:rFonts w:ascii="Symbol" w:hAnsi="Symbol" w:hint="default"/>
      </w:rPr>
    </w:lvl>
    <w:lvl w:ilvl="7" w:tplc="04050003">
      <w:start w:val="1"/>
      <w:numFmt w:val="bullet"/>
      <w:lvlText w:val="o"/>
      <w:lvlJc w:val="left"/>
      <w:pPr>
        <w:ind w:left="6017" w:hanging="360"/>
      </w:pPr>
      <w:rPr>
        <w:rFonts w:ascii="Courier New" w:hAnsi="Courier New" w:cs="Courier New" w:hint="default"/>
      </w:rPr>
    </w:lvl>
    <w:lvl w:ilvl="8" w:tplc="04050005">
      <w:start w:val="1"/>
      <w:numFmt w:val="bullet"/>
      <w:lvlText w:val=""/>
      <w:lvlJc w:val="left"/>
      <w:pPr>
        <w:ind w:left="6737" w:hanging="360"/>
      </w:pPr>
      <w:rPr>
        <w:rFonts w:ascii="Wingdings" w:hAnsi="Wingdings" w:hint="default"/>
      </w:rPr>
    </w:lvl>
  </w:abstractNum>
  <w:abstractNum w:abstractNumId="6" w15:restartNumberingAfterBreak="0">
    <w:nsid w:val="0FF320D4"/>
    <w:multiLevelType w:val="multilevel"/>
    <w:tmpl w:val="3B32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D3B88"/>
    <w:multiLevelType w:val="multilevel"/>
    <w:tmpl w:val="18E0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13A0B"/>
    <w:multiLevelType w:val="multilevel"/>
    <w:tmpl w:val="02B416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B647C99"/>
    <w:multiLevelType w:val="multilevel"/>
    <w:tmpl w:val="BFA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B25AE"/>
    <w:multiLevelType w:val="multilevel"/>
    <w:tmpl w:val="8334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71120B"/>
    <w:multiLevelType w:val="multilevel"/>
    <w:tmpl w:val="A664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23E8B"/>
    <w:multiLevelType w:val="hybridMultilevel"/>
    <w:tmpl w:val="1C7C07A2"/>
    <w:lvl w:ilvl="0" w:tplc="393C068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422F49"/>
    <w:multiLevelType w:val="multilevel"/>
    <w:tmpl w:val="97F8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94853"/>
    <w:multiLevelType w:val="multilevel"/>
    <w:tmpl w:val="AD4E3FB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47973AF"/>
    <w:multiLevelType w:val="multilevel"/>
    <w:tmpl w:val="A21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D040A"/>
    <w:multiLevelType w:val="multilevel"/>
    <w:tmpl w:val="69A0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53D9D"/>
    <w:multiLevelType w:val="multilevel"/>
    <w:tmpl w:val="075C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3E2C4E"/>
    <w:multiLevelType w:val="multilevel"/>
    <w:tmpl w:val="C698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0F6A08"/>
    <w:multiLevelType w:val="multilevel"/>
    <w:tmpl w:val="EAB81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B149FE"/>
    <w:multiLevelType w:val="multilevel"/>
    <w:tmpl w:val="B2D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FA17C2"/>
    <w:multiLevelType w:val="hybridMultilevel"/>
    <w:tmpl w:val="557E4EB6"/>
    <w:lvl w:ilvl="0" w:tplc="25AEDEBA">
      <w:start w:val="1"/>
      <w:numFmt w:val="bullet"/>
      <w:lvlText w:val=""/>
      <w:lvlPicBulletId w:val="0"/>
      <w:lvlJc w:val="left"/>
      <w:pPr>
        <w:tabs>
          <w:tab w:val="num" w:pos="720"/>
        </w:tabs>
        <w:ind w:left="720" w:hanging="360"/>
      </w:pPr>
      <w:rPr>
        <w:rFonts w:ascii="Symbol" w:hAnsi="Symbol" w:hint="default"/>
      </w:rPr>
    </w:lvl>
    <w:lvl w:ilvl="1" w:tplc="4A6A23DA" w:tentative="1">
      <w:start w:val="1"/>
      <w:numFmt w:val="bullet"/>
      <w:lvlText w:val=""/>
      <w:lvlJc w:val="left"/>
      <w:pPr>
        <w:tabs>
          <w:tab w:val="num" w:pos="1440"/>
        </w:tabs>
        <w:ind w:left="1440" w:hanging="360"/>
      </w:pPr>
      <w:rPr>
        <w:rFonts w:ascii="Symbol" w:hAnsi="Symbol" w:hint="default"/>
      </w:rPr>
    </w:lvl>
    <w:lvl w:ilvl="2" w:tplc="CA2CA034" w:tentative="1">
      <w:start w:val="1"/>
      <w:numFmt w:val="bullet"/>
      <w:lvlText w:val=""/>
      <w:lvlJc w:val="left"/>
      <w:pPr>
        <w:tabs>
          <w:tab w:val="num" w:pos="2160"/>
        </w:tabs>
        <w:ind w:left="2160" w:hanging="360"/>
      </w:pPr>
      <w:rPr>
        <w:rFonts w:ascii="Symbol" w:hAnsi="Symbol" w:hint="default"/>
      </w:rPr>
    </w:lvl>
    <w:lvl w:ilvl="3" w:tplc="911E8EA0" w:tentative="1">
      <w:start w:val="1"/>
      <w:numFmt w:val="bullet"/>
      <w:lvlText w:val=""/>
      <w:lvlJc w:val="left"/>
      <w:pPr>
        <w:tabs>
          <w:tab w:val="num" w:pos="2880"/>
        </w:tabs>
        <w:ind w:left="2880" w:hanging="360"/>
      </w:pPr>
      <w:rPr>
        <w:rFonts w:ascii="Symbol" w:hAnsi="Symbol" w:hint="default"/>
      </w:rPr>
    </w:lvl>
    <w:lvl w:ilvl="4" w:tplc="12E09E72" w:tentative="1">
      <w:start w:val="1"/>
      <w:numFmt w:val="bullet"/>
      <w:lvlText w:val=""/>
      <w:lvlJc w:val="left"/>
      <w:pPr>
        <w:tabs>
          <w:tab w:val="num" w:pos="3600"/>
        </w:tabs>
        <w:ind w:left="3600" w:hanging="360"/>
      </w:pPr>
      <w:rPr>
        <w:rFonts w:ascii="Symbol" w:hAnsi="Symbol" w:hint="default"/>
      </w:rPr>
    </w:lvl>
    <w:lvl w:ilvl="5" w:tplc="EC4CCB70" w:tentative="1">
      <w:start w:val="1"/>
      <w:numFmt w:val="bullet"/>
      <w:lvlText w:val=""/>
      <w:lvlJc w:val="left"/>
      <w:pPr>
        <w:tabs>
          <w:tab w:val="num" w:pos="4320"/>
        </w:tabs>
        <w:ind w:left="4320" w:hanging="360"/>
      </w:pPr>
      <w:rPr>
        <w:rFonts w:ascii="Symbol" w:hAnsi="Symbol" w:hint="default"/>
      </w:rPr>
    </w:lvl>
    <w:lvl w:ilvl="6" w:tplc="06BA661C" w:tentative="1">
      <w:start w:val="1"/>
      <w:numFmt w:val="bullet"/>
      <w:lvlText w:val=""/>
      <w:lvlJc w:val="left"/>
      <w:pPr>
        <w:tabs>
          <w:tab w:val="num" w:pos="5040"/>
        </w:tabs>
        <w:ind w:left="5040" w:hanging="360"/>
      </w:pPr>
      <w:rPr>
        <w:rFonts w:ascii="Symbol" w:hAnsi="Symbol" w:hint="default"/>
      </w:rPr>
    </w:lvl>
    <w:lvl w:ilvl="7" w:tplc="BED46DEC" w:tentative="1">
      <w:start w:val="1"/>
      <w:numFmt w:val="bullet"/>
      <w:lvlText w:val=""/>
      <w:lvlJc w:val="left"/>
      <w:pPr>
        <w:tabs>
          <w:tab w:val="num" w:pos="5760"/>
        </w:tabs>
        <w:ind w:left="5760" w:hanging="360"/>
      </w:pPr>
      <w:rPr>
        <w:rFonts w:ascii="Symbol" w:hAnsi="Symbol" w:hint="default"/>
      </w:rPr>
    </w:lvl>
    <w:lvl w:ilvl="8" w:tplc="5A9C972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A504E1D"/>
    <w:multiLevelType w:val="multilevel"/>
    <w:tmpl w:val="C958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73016A"/>
    <w:multiLevelType w:val="multilevel"/>
    <w:tmpl w:val="FFD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E1C04"/>
    <w:multiLevelType w:val="multilevel"/>
    <w:tmpl w:val="1980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0A0F99"/>
    <w:multiLevelType w:val="multilevel"/>
    <w:tmpl w:val="2590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CE655D"/>
    <w:multiLevelType w:val="multilevel"/>
    <w:tmpl w:val="FFC2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A0662D"/>
    <w:multiLevelType w:val="multilevel"/>
    <w:tmpl w:val="3EEE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08738D"/>
    <w:multiLevelType w:val="multilevel"/>
    <w:tmpl w:val="570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52AAC"/>
    <w:multiLevelType w:val="multilevel"/>
    <w:tmpl w:val="68CCF2B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E5D7DF8"/>
    <w:multiLevelType w:val="multilevel"/>
    <w:tmpl w:val="B6BE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D74EF4"/>
    <w:multiLevelType w:val="multilevel"/>
    <w:tmpl w:val="6BD6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DB5BBE"/>
    <w:multiLevelType w:val="multilevel"/>
    <w:tmpl w:val="C7AA655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B786702"/>
    <w:multiLevelType w:val="multilevel"/>
    <w:tmpl w:val="1E48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DF4D8F"/>
    <w:multiLevelType w:val="multilevel"/>
    <w:tmpl w:val="7354F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4B04CD"/>
    <w:multiLevelType w:val="multilevel"/>
    <w:tmpl w:val="AA6A4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531FCD"/>
    <w:multiLevelType w:val="multilevel"/>
    <w:tmpl w:val="729E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706C1F"/>
    <w:multiLevelType w:val="multilevel"/>
    <w:tmpl w:val="4D7E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03739C"/>
    <w:multiLevelType w:val="multilevel"/>
    <w:tmpl w:val="00DA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C0599C"/>
    <w:multiLevelType w:val="multilevel"/>
    <w:tmpl w:val="0DAA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6D3878"/>
    <w:multiLevelType w:val="multilevel"/>
    <w:tmpl w:val="1DDE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FF03FE"/>
    <w:multiLevelType w:val="multilevel"/>
    <w:tmpl w:val="C9BA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AA2779"/>
    <w:multiLevelType w:val="multilevel"/>
    <w:tmpl w:val="32B0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C47FCA"/>
    <w:multiLevelType w:val="multilevel"/>
    <w:tmpl w:val="590E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4D27B7"/>
    <w:multiLevelType w:val="multilevel"/>
    <w:tmpl w:val="C0CE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37287D"/>
    <w:multiLevelType w:val="multilevel"/>
    <w:tmpl w:val="F1A2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0C6C05"/>
    <w:multiLevelType w:val="multilevel"/>
    <w:tmpl w:val="73A6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F5318A"/>
    <w:multiLevelType w:val="multilevel"/>
    <w:tmpl w:val="4BFE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6C0BAA"/>
    <w:multiLevelType w:val="multilevel"/>
    <w:tmpl w:val="4706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2E24DB"/>
    <w:multiLevelType w:val="multilevel"/>
    <w:tmpl w:val="4E48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7079BB"/>
    <w:multiLevelType w:val="multilevel"/>
    <w:tmpl w:val="9F8C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716177">
    <w:abstractNumId w:val="4"/>
  </w:num>
  <w:num w:numId="2" w16cid:durableId="846016124">
    <w:abstractNumId w:val="9"/>
  </w:num>
  <w:num w:numId="3" w16cid:durableId="1823306415">
    <w:abstractNumId w:val="2"/>
  </w:num>
  <w:num w:numId="4" w16cid:durableId="732237473">
    <w:abstractNumId w:val="5"/>
  </w:num>
  <w:num w:numId="5" w16cid:durableId="1496022160">
    <w:abstractNumId w:val="5"/>
  </w:num>
  <w:num w:numId="6" w16cid:durableId="1803771219">
    <w:abstractNumId w:val="19"/>
  </w:num>
  <w:num w:numId="7" w16cid:durableId="182745353">
    <w:abstractNumId w:val="21"/>
  </w:num>
  <w:num w:numId="8" w16cid:durableId="1496066437">
    <w:abstractNumId w:val="39"/>
  </w:num>
  <w:num w:numId="9" w16cid:durableId="1787776527">
    <w:abstractNumId w:val="8"/>
  </w:num>
  <w:num w:numId="10" w16cid:durableId="1241909596">
    <w:abstractNumId w:val="32"/>
  </w:num>
  <w:num w:numId="11" w16cid:durableId="2024238721">
    <w:abstractNumId w:val="29"/>
  </w:num>
  <w:num w:numId="12" w16cid:durableId="1511526150">
    <w:abstractNumId w:val="14"/>
  </w:num>
  <w:num w:numId="13" w16cid:durableId="94250203">
    <w:abstractNumId w:val="20"/>
  </w:num>
  <w:num w:numId="14" w16cid:durableId="1567301775">
    <w:abstractNumId w:val="10"/>
  </w:num>
  <w:num w:numId="15" w16cid:durableId="244654975">
    <w:abstractNumId w:val="31"/>
  </w:num>
  <w:num w:numId="16" w16cid:durableId="598948884">
    <w:abstractNumId w:val="42"/>
  </w:num>
  <w:num w:numId="17" w16cid:durableId="1987541899">
    <w:abstractNumId w:val="46"/>
  </w:num>
  <w:num w:numId="18" w16cid:durableId="953246973">
    <w:abstractNumId w:val="11"/>
  </w:num>
  <w:num w:numId="19" w16cid:durableId="1869950249">
    <w:abstractNumId w:val="3"/>
  </w:num>
  <w:num w:numId="20" w16cid:durableId="815292835">
    <w:abstractNumId w:val="24"/>
  </w:num>
  <w:num w:numId="21" w16cid:durableId="2124836546">
    <w:abstractNumId w:val="23"/>
  </w:num>
  <w:num w:numId="22" w16cid:durableId="1806193464">
    <w:abstractNumId w:val="41"/>
  </w:num>
  <w:num w:numId="23" w16cid:durableId="1821648671">
    <w:abstractNumId w:val="33"/>
  </w:num>
  <w:num w:numId="24" w16cid:durableId="106236201">
    <w:abstractNumId w:val="40"/>
  </w:num>
  <w:num w:numId="25" w16cid:durableId="898130163">
    <w:abstractNumId w:val="18"/>
  </w:num>
  <w:num w:numId="26" w16cid:durableId="1313484982">
    <w:abstractNumId w:val="34"/>
  </w:num>
  <w:num w:numId="27" w16cid:durableId="1976369629">
    <w:abstractNumId w:val="43"/>
  </w:num>
  <w:num w:numId="28" w16cid:durableId="2088377383">
    <w:abstractNumId w:val="7"/>
  </w:num>
  <w:num w:numId="29" w16cid:durableId="1512796495">
    <w:abstractNumId w:val="26"/>
  </w:num>
  <w:num w:numId="30" w16cid:durableId="997726455">
    <w:abstractNumId w:val="30"/>
  </w:num>
  <w:num w:numId="31" w16cid:durableId="1428964673">
    <w:abstractNumId w:val="48"/>
  </w:num>
  <w:num w:numId="32" w16cid:durableId="1151677039">
    <w:abstractNumId w:val="13"/>
  </w:num>
  <w:num w:numId="33" w16cid:durableId="1091971083">
    <w:abstractNumId w:val="35"/>
  </w:num>
  <w:num w:numId="34" w16cid:durableId="1969847650">
    <w:abstractNumId w:val="15"/>
  </w:num>
  <w:num w:numId="35" w16cid:durableId="197814653">
    <w:abstractNumId w:val="16"/>
  </w:num>
  <w:num w:numId="36" w16cid:durableId="424768870">
    <w:abstractNumId w:val="47"/>
  </w:num>
  <w:num w:numId="37" w16cid:durableId="199051132">
    <w:abstractNumId w:val="50"/>
  </w:num>
  <w:num w:numId="38" w16cid:durableId="186141587">
    <w:abstractNumId w:val="49"/>
  </w:num>
  <w:num w:numId="39" w16cid:durableId="1851722173">
    <w:abstractNumId w:val="45"/>
  </w:num>
  <w:num w:numId="40" w16cid:durableId="1073117169">
    <w:abstractNumId w:val="22"/>
  </w:num>
  <w:num w:numId="41" w16cid:durableId="1670135089">
    <w:abstractNumId w:val="0"/>
  </w:num>
  <w:num w:numId="42" w16cid:durableId="1268928329">
    <w:abstractNumId w:val="27"/>
  </w:num>
  <w:num w:numId="43" w16cid:durableId="1286231227">
    <w:abstractNumId w:val="25"/>
  </w:num>
  <w:num w:numId="44" w16cid:durableId="1926331516">
    <w:abstractNumId w:val="37"/>
  </w:num>
  <w:num w:numId="45" w16cid:durableId="1948728179">
    <w:abstractNumId w:val="6"/>
  </w:num>
  <w:num w:numId="46" w16cid:durableId="1106075437">
    <w:abstractNumId w:val="36"/>
  </w:num>
  <w:num w:numId="47" w16cid:durableId="893739906">
    <w:abstractNumId w:val="1"/>
  </w:num>
  <w:num w:numId="48" w16cid:durableId="824392409">
    <w:abstractNumId w:val="44"/>
  </w:num>
  <w:num w:numId="49" w16cid:durableId="1151825077">
    <w:abstractNumId w:val="12"/>
  </w:num>
  <w:num w:numId="50" w16cid:durableId="150567968">
    <w:abstractNumId w:val="38"/>
  </w:num>
  <w:num w:numId="51" w16cid:durableId="481238175">
    <w:abstractNumId w:val="17"/>
  </w:num>
  <w:num w:numId="52" w16cid:durableId="12577896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B9"/>
    <w:rsid w:val="000002E0"/>
    <w:rsid w:val="00000393"/>
    <w:rsid w:val="000007EB"/>
    <w:rsid w:val="00000CD1"/>
    <w:rsid w:val="00001450"/>
    <w:rsid w:val="00001F70"/>
    <w:rsid w:val="00001F98"/>
    <w:rsid w:val="00002CDA"/>
    <w:rsid w:val="00002E80"/>
    <w:rsid w:val="000031F8"/>
    <w:rsid w:val="000039D1"/>
    <w:rsid w:val="00003C92"/>
    <w:rsid w:val="00003E75"/>
    <w:rsid w:val="00003F1E"/>
    <w:rsid w:val="00004266"/>
    <w:rsid w:val="000042F2"/>
    <w:rsid w:val="000043EF"/>
    <w:rsid w:val="0000477B"/>
    <w:rsid w:val="0000502A"/>
    <w:rsid w:val="00005524"/>
    <w:rsid w:val="00005E64"/>
    <w:rsid w:val="00006134"/>
    <w:rsid w:val="000072AA"/>
    <w:rsid w:val="00007345"/>
    <w:rsid w:val="0000765B"/>
    <w:rsid w:val="00007BA0"/>
    <w:rsid w:val="00007F4B"/>
    <w:rsid w:val="00010418"/>
    <w:rsid w:val="000111DB"/>
    <w:rsid w:val="00011952"/>
    <w:rsid w:val="0001261B"/>
    <w:rsid w:val="00012738"/>
    <w:rsid w:val="00012804"/>
    <w:rsid w:val="00012D7F"/>
    <w:rsid w:val="00013232"/>
    <w:rsid w:val="0001372E"/>
    <w:rsid w:val="00013C85"/>
    <w:rsid w:val="00013E43"/>
    <w:rsid w:val="00013FFF"/>
    <w:rsid w:val="00014A37"/>
    <w:rsid w:val="00014A6E"/>
    <w:rsid w:val="00015034"/>
    <w:rsid w:val="00016FF9"/>
    <w:rsid w:val="00017209"/>
    <w:rsid w:val="00017DFE"/>
    <w:rsid w:val="000205EC"/>
    <w:rsid w:val="000206CD"/>
    <w:rsid w:val="00021D6F"/>
    <w:rsid w:val="00021F09"/>
    <w:rsid w:val="00022100"/>
    <w:rsid w:val="00022268"/>
    <w:rsid w:val="000222DA"/>
    <w:rsid w:val="00022454"/>
    <w:rsid w:val="000231A2"/>
    <w:rsid w:val="00023247"/>
    <w:rsid w:val="0002331C"/>
    <w:rsid w:val="000233AE"/>
    <w:rsid w:val="000233EC"/>
    <w:rsid w:val="00023AF3"/>
    <w:rsid w:val="00023D18"/>
    <w:rsid w:val="00024396"/>
    <w:rsid w:val="00024740"/>
    <w:rsid w:val="00024DEA"/>
    <w:rsid w:val="0002556B"/>
    <w:rsid w:val="00025AC8"/>
    <w:rsid w:val="00025F7D"/>
    <w:rsid w:val="000260DE"/>
    <w:rsid w:val="00026643"/>
    <w:rsid w:val="0002676D"/>
    <w:rsid w:val="00026D52"/>
    <w:rsid w:val="00026EAF"/>
    <w:rsid w:val="000277A8"/>
    <w:rsid w:val="00027EDD"/>
    <w:rsid w:val="00030148"/>
    <w:rsid w:val="000303C5"/>
    <w:rsid w:val="0003043F"/>
    <w:rsid w:val="000305A2"/>
    <w:rsid w:val="00030CA2"/>
    <w:rsid w:val="00031360"/>
    <w:rsid w:val="0003158A"/>
    <w:rsid w:val="00031819"/>
    <w:rsid w:val="00031836"/>
    <w:rsid w:val="0003196C"/>
    <w:rsid w:val="00031E91"/>
    <w:rsid w:val="00032568"/>
    <w:rsid w:val="000327D1"/>
    <w:rsid w:val="0003290D"/>
    <w:rsid w:val="00032B67"/>
    <w:rsid w:val="0003323F"/>
    <w:rsid w:val="0003385B"/>
    <w:rsid w:val="00033883"/>
    <w:rsid w:val="000340D9"/>
    <w:rsid w:val="000352F6"/>
    <w:rsid w:val="000353A4"/>
    <w:rsid w:val="00035577"/>
    <w:rsid w:val="00036A77"/>
    <w:rsid w:val="00037959"/>
    <w:rsid w:val="00037B6E"/>
    <w:rsid w:val="00040959"/>
    <w:rsid w:val="000437EB"/>
    <w:rsid w:val="00044279"/>
    <w:rsid w:val="00044668"/>
    <w:rsid w:val="00044FC0"/>
    <w:rsid w:val="00045DF7"/>
    <w:rsid w:val="00046931"/>
    <w:rsid w:val="0004697A"/>
    <w:rsid w:val="00046B3A"/>
    <w:rsid w:val="00046B9F"/>
    <w:rsid w:val="00046C20"/>
    <w:rsid w:val="00046EA9"/>
    <w:rsid w:val="00047A6A"/>
    <w:rsid w:val="00047ACC"/>
    <w:rsid w:val="000500F3"/>
    <w:rsid w:val="0005029E"/>
    <w:rsid w:val="00050990"/>
    <w:rsid w:val="00050C34"/>
    <w:rsid w:val="000513E9"/>
    <w:rsid w:val="000515B0"/>
    <w:rsid w:val="00052006"/>
    <w:rsid w:val="00052310"/>
    <w:rsid w:val="00052A32"/>
    <w:rsid w:val="00052DC4"/>
    <w:rsid w:val="00052F34"/>
    <w:rsid w:val="00053098"/>
    <w:rsid w:val="00053DB8"/>
    <w:rsid w:val="0005411D"/>
    <w:rsid w:val="000548C1"/>
    <w:rsid w:val="00054C64"/>
    <w:rsid w:val="0005573B"/>
    <w:rsid w:val="00055CCE"/>
    <w:rsid w:val="000561CC"/>
    <w:rsid w:val="00056C15"/>
    <w:rsid w:val="00056CF2"/>
    <w:rsid w:val="00056FC1"/>
    <w:rsid w:val="00057225"/>
    <w:rsid w:val="000573BF"/>
    <w:rsid w:val="000577DC"/>
    <w:rsid w:val="00057AA4"/>
    <w:rsid w:val="00057F40"/>
    <w:rsid w:val="000600D1"/>
    <w:rsid w:val="000606A0"/>
    <w:rsid w:val="00060C24"/>
    <w:rsid w:val="00060C49"/>
    <w:rsid w:val="00060E01"/>
    <w:rsid w:val="000614A1"/>
    <w:rsid w:val="00061E23"/>
    <w:rsid w:val="000625FC"/>
    <w:rsid w:val="00062D55"/>
    <w:rsid w:val="0006372E"/>
    <w:rsid w:val="00064502"/>
    <w:rsid w:val="00064B0B"/>
    <w:rsid w:val="00064C68"/>
    <w:rsid w:val="00064DB9"/>
    <w:rsid w:val="0006517A"/>
    <w:rsid w:val="0006533C"/>
    <w:rsid w:val="00065880"/>
    <w:rsid w:val="0006695D"/>
    <w:rsid w:val="00066A95"/>
    <w:rsid w:val="00066D41"/>
    <w:rsid w:val="0006722D"/>
    <w:rsid w:val="0006744B"/>
    <w:rsid w:val="00067618"/>
    <w:rsid w:val="00067E3C"/>
    <w:rsid w:val="0007071A"/>
    <w:rsid w:val="00070C2F"/>
    <w:rsid w:val="00070CE8"/>
    <w:rsid w:val="00070DA9"/>
    <w:rsid w:val="00070EE5"/>
    <w:rsid w:val="00070F8A"/>
    <w:rsid w:val="000711A9"/>
    <w:rsid w:val="00071859"/>
    <w:rsid w:val="00071A35"/>
    <w:rsid w:val="00071E39"/>
    <w:rsid w:val="0007290B"/>
    <w:rsid w:val="00072C27"/>
    <w:rsid w:val="00075075"/>
    <w:rsid w:val="00076105"/>
    <w:rsid w:val="000762F8"/>
    <w:rsid w:val="00076593"/>
    <w:rsid w:val="00077614"/>
    <w:rsid w:val="0007770E"/>
    <w:rsid w:val="000779D8"/>
    <w:rsid w:val="0008006E"/>
    <w:rsid w:val="000801F2"/>
    <w:rsid w:val="000803D0"/>
    <w:rsid w:val="00081137"/>
    <w:rsid w:val="00081AB7"/>
    <w:rsid w:val="00081ACA"/>
    <w:rsid w:val="0008235F"/>
    <w:rsid w:val="00082BE0"/>
    <w:rsid w:val="00083061"/>
    <w:rsid w:val="000831B8"/>
    <w:rsid w:val="00084091"/>
    <w:rsid w:val="00084242"/>
    <w:rsid w:val="0008453D"/>
    <w:rsid w:val="0008486C"/>
    <w:rsid w:val="00084C50"/>
    <w:rsid w:val="00085087"/>
    <w:rsid w:val="00085C83"/>
    <w:rsid w:val="00086182"/>
    <w:rsid w:val="00086362"/>
    <w:rsid w:val="000867AF"/>
    <w:rsid w:val="000869EF"/>
    <w:rsid w:val="00086F60"/>
    <w:rsid w:val="00087CB2"/>
    <w:rsid w:val="0009022C"/>
    <w:rsid w:val="00090829"/>
    <w:rsid w:val="00090883"/>
    <w:rsid w:val="0009125C"/>
    <w:rsid w:val="00091FB3"/>
    <w:rsid w:val="0009260D"/>
    <w:rsid w:val="00092A91"/>
    <w:rsid w:val="00092C9D"/>
    <w:rsid w:val="00094917"/>
    <w:rsid w:val="0009541F"/>
    <w:rsid w:val="00096603"/>
    <w:rsid w:val="00096992"/>
    <w:rsid w:val="00096E92"/>
    <w:rsid w:val="00097773"/>
    <w:rsid w:val="0009782B"/>
    <w:rsid w:val="00097936"/>
    <w:rsid w:val="00097A0E"/>
    <w:rsid w:val="000A0404"/>
    <w:rsid w:val="000A07DE"/>
    <w:rsid w:val="000A0B2B"/>
    <w:rsid w:val="000A0CF5"/>
    <w:rsid w:val="000A136E"/>
    <w:rsid w:val="000A19CA"/>
    <w:rsid w:val="000A19EE"/>
    <w:rsid w:val="000A2626"/>
    <w:rsid w:val="000A2D91"/>
    <w:rsid w:val="000A3A37"/>
    <w:rsid w:val="000A3B01"/>
    <w:rsid w:val="000A45C3"/>
    <w:rsid w:val="000A481E"/>
    <w:rsid w:val="000A4B4A"/>
    <w:rsid w:val="000A4C13"/>
    <w:rsid w:val="000A520C"/>
    <w:rsid w:val="000A5220"/>
    <w:rsid w:val="000A71CF"/>
    <w:rsid w:val="000A7544"/>
    <w:rsid w:val="000B078A"/>
    <w:rsid w:val="000B0CE0"/>
    <w:rsid w:val="000B0DAC"/>
    <w:rsid w:val="000B1286"/>
    <w:rsid w:val="000B154E"/>
    <w:rsid w:val="000B1B1E"/>
    <w:rsid w:val="000B1C87"/>
    <w:rsid w:val="000B1FF1"/>
    <w:rsid w:val="000B2724"/>
    <w:rsid w:val="000B2B9C"/>
    <w:rsid w:val="000B3CBE"/>
    <w:rsid w:val="000B4F4F"/>
    <w:rsid w:val="000B5FB9"/>
    <w:rsid w:val="000B5FC6"/>
    <w:rsid w:val="000B6D0A"/>
    <w:rsid w:val="000B6DC8"/>
    <w:rsid w:val="000B7386"/>
    <w:rsid w:val="000B7EBB"/>
    <w:rsid w:val="000B7F89"/>
    <w:rsid w:val="000C09E0"/>
    <w:rsid w:val="000C129E"/>
    <w:rsid w:val="000C1432"/>
    <w:rsid w:val="000C19A7"/>
    <w:rsid w:val="000C2BC3"/>
    <w:rsid w:val="000C2D60"/>
    <w:rsid w:val="000C36F5"/>
    <w:rsid w:val="000C3B19"/>
    <w:rsid w:val="000C4319"/>
    <w:rsid w:val="000C488E"/>
    <w:rsid w:val="000C4D8F"/>
    <w:rsid w:val="000C4F94"/>
    <w:rsid w:val="000C5216"/>
    <w:rsid w:val="000C52F7"/>
    <w:rsid w:val="000C5808"/>
    <w:rsid w:val="000C5C39"/>
    <w:rsid w:val="000C5C5F"/>
    <w:rsid w:val="000C606C"/>
    <w:rsid w:val="000C6315"/>
    <w:rsid w:val="000C6636"/>
    <w:rsid w:val="000C6680"/>
    <w:rsid w:val="000C6CBA"/>
    <w:rsid w:val="000C6E9F"/>
    <w:rsid w:val="000C7323"/>
    <w:rsid w:val="000C759E"/>
    <w:rsid w:val="000C7E38"/>
    <w:rsid w:val="000D0E47"/>
    <w:rsid w:val="000D1283"/>
    <w:rsid w:val="000D2302"/>
    <w:rsid w:val="000D26F5"/>
    <w:rsid w:val="000D32A4"/>
    <w:rsid w:val="000D38A2"/>
    <w:rsid w:val="000D40AE"/>
    <w:rsid w:val="000D4909"/>
    <w:rsid w:val="000D4A73"/>
    <w:rsid w:val="000D5711"/>
    <w:rsid w:val="000D69AE"/>
    <w:rsid w:val="000D6F0A"/>
    <w:rsid w:val="000D7686"/>
    <w:rsid w:val="000D77B6"/>
    <w:rsid w:val="000D7DA9"/>
    <w:rsid w:val="000D7F52"/>
    <w:rsid w:val="000E006C"/>
    <w:rsid w:val="000E00AE"/>
    <w:rsid w:val="000E0121"/>
    <w:rsid w:val="000E0DA5"/>
    <w:rsid w:val="000E1071"/>
    <w:rsid w:val="000E316E"/>
    <w:rsid w:val="000E3E8A"/>
    <w:rsid w:val="000E40F8"/>
    <w:rsid w:val="000E4165"/>
    <w:rsid w:val="000E4ED7"/>
    <w:rsid w:val="000E4FFF"/>
    <w:rsid w:val="000E547F"/>
    <w:rsid w:val="000E62F3"/>
    <w:rsid w:val="000E7847"/>
    <w:rsid w:val="000E78FB"/>
    <w:rsid w:val="000E7AAB"/>
    <w:rsid w:val="000F01B3"/>
    <w:rsid w:val="000F028E"/>
    <w:rsid w:val="000F042C"/>
    <w:rsid w:val="000F0A0E"/>
    <w:rsid w:val="000F0A17"/>
    <w:rsid w:val="000F1591"/>
    <w:rsid w:val="000F1C1D"/>
    <w:rsid w:val="000F2263"/>
    <w:rsid w:val="000F2B6E"/>
    <w:rsid w:val="000F2D44"/>
    <w:rsid w:val="000F39E8"/>
    <w:rsid w:val="000F4832"/>
    <w:rsid w:val="000F4C0C"/>
    <w:rsid w:val="000F4ED7"/>
    <w:rsid w:val="000F556E"/>
    <w:rsid w:val="000F5743"/>
    <w:rsid w:val="000F6754"/>
    <w:rsid w:val="000F6A97"/>
    <w:rsid w:val="000F6E84"/>
    <w:rsid w:val="000F7B8F"/>
    <w:rsid w:val="00100214"/>
    <w:rsid w:val="00102237"/>
    <w:rsid w:val="00102272"/>
    <w:rsid w:val="001024D6"/>
    <w:rsid w:val="00102A17"/>
    <w:rsid w:val="00102AB1"/>
    <w:rsid w:val="001032D5"/>
    <w:rsid w:val="001036A3"/>
    <w:rsid w:val="001037A2"/>
    <w:rsid w:val="00103834"/>
    <w:rsid w:val="00104264"/>
    <w:rsid w:val="00104627"/>
    <w:rsid w:val="00104AA5"/>
    <w:rsid w:val="001052B0"/>
    <w:rsid w:val="00105B48"/>
    <w:rsid w:val="0010654B"/>
    <w:rsid w:val="00106EC3"/>
    <w:rsid w:val="001078E7"/>
    <w:rsid w:val="00110ED5"/>
    <w:rsid w:val="001111F6"/>
    <w:rsid w:val="00111376"/>
    <w:rsid w:val="0011196A"/>
    <w:rsid w:val="00112D25"/>
    <w:rsid w:val="00113609"/>
    <w:rsid w:val="00113776"/>
    <w:rsid w:val="00113AFB"/>
    <w:rsid w:val="00113E68"/>
    <w:rsid w:val="001140C2"/>
    <w:rsid w:val="00114581"/>
    <w:rsid w:val="0011502B"/>
    <w:rsid w:val="00115247"/>
    <w:rsid w:val="001155CF"/>
    <w:rsid w:val="00115A6F"/>
    <w:rsid w:val="0011672E"/>
    <w:rsid w:val="00116ACA"/>
    <w:rsid w:val="0011762E"/>
    <w:rsid w:val="001176A4"/>
    <w:rsid w:val="00117CBB"/>
    <w:rsid w:val="00117D70"/>
    <w:rsid w:val="00120638"/>
    <w:rsid w:val="001208C8"/>
    <w:rsid w:val="001209B3"/>
    <w:rsid w:val="00120D19"/>
    <w:rsid w:val="00120DFA"/>
    <w:rsid w:val="0012188A"/>
    <w:rsid w:val="00122D6F"/>
    <w:rsid w:val="00122FBD"/>
    <w:rsid w:val="00123740"/>
    <w:rsid w:val="00123941"/>
    <w:rsid w:val="001246AA"/>
    <w:rsid w:val="00124959"/>
    <w:rsid w:val="00124AB7"/>
    <w:rsid w:val="00124F75"/>
    <w:rsid w:val="00125232"/>
    <w:rsid w:val="00125525"/>
    <w:rsid w:val="00125CD8"/>
    <w:rsid w:val="00125D89"/>
    <w:rsid w:val="001260E3"/>
    <w:rsid w:val="001268EB"/>
    <w:rsid w:val="00126FEF"/>
    <w:rsid w:val="001275DC"/>
    <w:rsid w:val="001277AD"/>
    <w:rsid w:val="00130E50"/>
    <w:rsid w:val="001310ED"/>
    <w:rsid w:val="00131DC1"/>
    <w:rsid w:val="00131E8C"/>
    <w:rsid w:val="001327B0"/>
    <w:rsid w:val="00133059"/>
    <w:rsid w:val="00133334"/>
    <w:rsid w:val="001334C0"/>
    <w:rsid w:val="0013368F"/>
    <w:rsid w:val="00133EC9"/>
    <w:rsid w:val="001342C6"/>
    <w:rsid w:val="00134E10"/>
    <w:rsid w:val="00134F38"/>
    <w:rsid w:val="0013530A"/>
    <w:rsid w:val="00135687"/>
    <w:rsid w:val="00135D48"/>
    <w:rsid w:val="00135E5B"/>
    <w:rsid w:val="00135EC5"/>
    <w:rsid w:val="001369C0"/>
    <w:rsid w:val="00136B49"/>
    <w:rsid w:val="00137377"/>
    <w:rsid w:val="001409E9"/>
    <w:rsid w:val="00140EAA"/>
    <w:rsid w:val="001429FC"/>
    <w:rsid w:val="00142D1B"/>
    <w:rsid w:val="001432A1"/>
    <w:rsid w:val="00143CB4"/>
    <w:rsid w:val="00143DB5"/>
    <w:rsid w:val="001440FA"/>
    <w:rsid w:val="00144159"/>
    <w:rsid w:val="00144175"/>
    <w:rsid w:val="0014436B"/>
    <w:rsid w:val="001443CE"/>
    <w:rsid w:val="001445C8"/>
    <w:rsid w:val="00144A57"/>
    <w:rsid w:val="0014559D"/>
    <w:rsid w:val="00145CEB"/>
    <w:rsid w:val="001460FF"/>
    <w:rsid w:val="0014656A"/>
    <w:rsid w:val="001468BD"/>
    <w:rsid w:val="00146D80"/>
    <w:rsid w:val="0014716A"/>
    <w:rsid w:val="00147528"/>
    <w:rsid w:val="001475D5"/>
    <w:rsid w:val="00150881"/>
    <w:rsid w:val="0015097F"/>
    <w:rsid w:val="00150BA9"/>
    <w:rsid w:val="00150F55"/>
    <w:rsid w:val="00151692"/>
    <w:rsid w:val="00151D63"/>
    <w:rsid w:val="00152337"/>
    <w:rsid w:val="00152E5B"/>
    <w:rsid w:val="00153972"/>
    <w:rsid w:val="00153DA9"/>
    <w:rsid w:val="00153E6C"/>
    <w:rsid w:val="0015421E"/>
    <w:rsid w:val="00154430"/>
    <w:rsid w:val="00154974"/>
    <w:rsid w:val="00154E02"/>
    <w:rsid w:val="001556FD"/>
    <w:rsid w:val="0015591E"/>
    <w:rsid w:val="00155C40"/>
    <w:rsid w:val="00155E85"/>
    <w:rsid w:val="00156067"/>
    <w:rsid w:val="001560C3"/>
    <w:rsid w:val="0015661D"/>
    <w:rsid w:val="00156651"/>
    <w:rsid w:val="00156B58"/>
    <w:rsid w:val="001573A5"/>
    <w:rsid w:val="0015758E"/>
    <w:rsid w:val="00157A42"/>
    <w:rsid w:val="00157ABD"/>
    <w:rsid w:val="00157BDC"/>
    <w:rsid w:val="00160064"/>
    <w:rsid w:val="001600FE"/>
    <w:rsid w:val="001603FD"/>
    <w:rsid w:val="00160C37"/>
    <w:rsid w:val="00160E78"/>
    <w:rsid w:val="00161994"/>
    <w:rsid w:val="001619A9"/>
    <w:rsid w:val="00161B25"/>
    <w:rsid w:val="00161CF9"/>
    <w:rsid w:val="00162405"/>
    <w:rsid w:val="0016290F"/>
    <w:rsid w:val="00162B99"/>
    <w:rsid w:val="00162CE6"/>
    <w:rsid w:val="001631C1"/>
    <w:rsid w:val="0016427D"/>
    <w:rsid w:val="00164331"/>
    <w:rsid w:val="0016437C"/>
    <w:rsid w:val="001646F8"/>
    <w:rsid w:val="00164B21"/>
    <w:rsid w:val="00164CD5"/>
    <w:rsid w:val="00164D8C"/>
    <w:rsid w:val="001654D0"/>
    <w:rsid w:val="00165CC8"/>
    <w:rsid w:val="00165D33"/>
    <w:rsid w:val="00166957"/>
    <w:rsid w:val="00166A31"/>
    <w:rsid w:val="00166ABA"/>
    <w:rsid w:val="00166BA6"/>
    <w:rsid w:val="00166E47"/>
    <w:rsid w:val="001670B5"/>
    <w:rsid w:val="0016769E"/>
    <w:rsid w:val="001679AF"/>
    <w:rsid w:val="00167AC6"/>
    <w:rsid w:val="00167BF3"/>
    <w:rsid w:val="0017071E"/>
    <w:rsid w:val="00170D48"/>
    <w:rsid w:val="00170F48"/>
    <w:rsid w:val="00171209"/>
    <w:rsid w:val="00171992"/>
    <w:rsid w:val="00171A9C"/>
    <w:rsid w:val="00172A4C"/>
    <w:rsid w:val="00172C55"/>
    <w:rsid w:val="001733F3"/>
    <w:rsid w:val="00173D99"/>
    <w:rsid w:val="00173E64"/>
    <w:rsid w:val="00173F08"/>
    <w:rsid w:val="001744FD"/>
    <w:rsid w:val="00174911"/>
    <w:rsid w:val="00174A2C"/>
    <w:rsid w:val="00174E61"/>
    <w:rsid w:val="00174FFA"/>
    <w:rsid w:val="0017537B"/>
    <w:rsid w:val="0017563D"/>
    <w:rsid w:val="001761B3"/>
    <w:rsid w:val="001766C6"/>
    <w:rsid w:val="00177166"/>
    <w:rsid w:val="00177173"/>
    <w:rsid w:val="0017738F"/>
    <w:rsid w:val="00177A02"/>
    <w:rsid w:val="00177ACC"/>
    <w:rsid w:val="001800EE"/>
    <w:rsid w:val="00180864"/>
    <w:rsid w:val="001809FE"/>
    <w:rsid w:val="00180CB7"/>
    <w:rsid w:val="00181034"/>
    <w:rsid w:val="001810D3"/>
    <w:rsid w:val="0018148D"/>
    <w:rsid w:val="00181618"/>
    <w:rsid w:val="0018178F"/>
    <w:rsid w:val="0018258D"/>
    <w:rsid w:val="001829FC"/>
    <w:rsid w:val="00182BBF"/>
    <w:rsid w:val="00183418"/>
    <w:rsid w:val="001840EC"/>
    <w:rsid w:val="001840F4"/>
    <w:rsid w:val="0018501E"/>
    <w:rsid w:val="00187E51"/>
    <w:rsid w:val="0019056D"/>
    <w:rsid w:val="001905FF"/>
    <w:rsid w:val="001906C0"/>
    <w:rsid w:val="001908A7"/>
    <w:rsid w:val="00190CA2"/>
    <w:rsid w:val="001914BB"/>
    <w:rsid w:val="001915D4"/>
    <w:rsid w:val="00191978"/>
    <w:rsid w:val="00191A99"/>
    <w:rsid w:val="0019252F"/>
    <w:rsid w:val="001933DF"/>
    <w:rsid w:val="001938EE"/>
    <w:rsid w:val="00193E67"/>
    <w:rsid w:val="00193FB0"/>
    <w:rsid w:val="00194DF0"/>
    <w:rsid w:val="00195276"/>
    <w:rsid w:val="0019553C"/>
    <w:rsid w:val="00195664"/>
    <w:rsid w:val="00195DB2"/>
    <w:rsid w:val="00195E0F"/>
    <w:rsid w:val="0019687F"/>
    <w:rsid w:val="001969DA"/>
    <w:rsid w:val="00197040"/>
    <w:rsid w:val="0019742D"/>
    <w:rsid w:val="001974DB"/>
    <w:rsid w:val="00197D82"/>
    <w:rsid w:val="001A0387"/>
    <w:rsid w:val="001A084E"/>
    <w:rsid w:val="001A08C7"/>
    <w:rsid w:val="001A13EB"/>
    <w:rsid w:val="001A1F72"/>
    <w:rsid w:val="001A208C"/>
    <w:rsid w:val="001A214F"/>
    <w:rsid w:val="001A25D6"/>
    <w:rsid w:val="001A278B"/>
    <w:rsid w:val="001A29DE"/>
    <w:rsid w:val="001A31CF"/>
    <w:rsid w:val="001A4DAB"/>
    <w:rsid w:val="001A4E1C"/>
    <w:rsid w:val="001A4FAE"/>
    <w:rsid w:val="001A50F6"/>
    <w:rsid w:val="001A62FC"/>
    <w:rsid w:val="001A71FD"/>
    <w:rsid w:val="001A777A"/>
    <w:rsid w:val="001A7C7E"/>
    <w:rsid w:val="001A7D3C"/>
    <w:rsid w:val="001B032B"/>
    <w:rsid w:val="001B1070"/>
    <w:rsid w:val="001B171A"/>
    <w:rsid w:val="001B218D"/>
    <w:rsid w:val="001B2210"/>
    <w:rsid w:val="001B243A"/>
    <w:rsid w:val="001B25EA"/>
    <w:rsid w:val="001B2FF5"/>
    <w:rsid w:val="001B3377"/>
    <w:rsid w:val="001B36F2"/>
    <w:rsid w:val="001B4413"/>
    <w:rsid w:val="001B45BF"/>
    <w:rsid w:val="001B46DB"/>
    <w:rsid w:val="001B49BE"/>
    <w:rsid w:val="001B4A48"/>
    <w:rsid w:val="001B4E79"/>
    <w:rsid w:val="001B50E9"/>
    <w:rsid w:val="001B5452"/>
    <w:rsid w:val="001B593F"/>
    <w:rsid w:val="001B5CE5"/>
    <w:rsid w:val="001B6D26"/>
    <w:rsid w:val="001B71C7"/>
    <w:rsid w:val="001B72AB"/>
    <w:rsid w:val="001B7B17"/>
    <w:rsid w:val="001B7D9A"/>
    <w:rsid w:val="001C01E6"/>
    <w:rsid w:val="001C078A"/>
    <w:rsid w:val="001C0C9D"/>
    <w:rsid w:val="001C0D22"/>
    <w:rsid w:val="001C0E8F"/>
    <w:rsid w:val="001C1311"/>
    <w:rsid w:val="001C1FCE"/>
    <w:rsid w:val="001C2FEF"/>
    <w:rsid w:val="001C3294"/>
    <w:rsid w:val="001C3387"/>
    <w:rsid w:val="001C3BFF"/>
    <w:rsid w:val="001C4365"/>
    <w:rsid w:val="001C4F89"/>
    <w:rsid w:val="001C52C8"/>
    <w:rsid w:val="001C5777"/>
    <w:rsid w:val="001C5954"/>
    <w:rsid w:val="001C6742"/>
    <w:rsid w:val="001C67B9"/>
    <w:rsid w:val="001C726D"/>
    <w:rsid w:val="001C749F"/>
    <w:rsid w:val="001C756E"/>
    <w:rsid w:val="001C79F2"/>
    <w:rsid w:val="001C7E57"/>
    <w:rsid w:val="001D0156"/>
    <w:rsid w:val="001D0DAB"/>
    <w:rsid w:val="001D133A"/>
    <w:rsid w:val="001D1697"/>
    <w:rsid w:val="001D1F0E"/>
    <w:rsid w:val="001D232B"/>
    <w:rsid w:val="001D2DB8"/>
    <w:rsid w:val="001D323F"/>
    <w:rsid w:val="001D40B2"/>
    <w:rsid w:val="001D44FA"/>
    <w:rsid w:val="001D47DB"/>
    <w:rsid w:val="001D4901"/>
    <w:rsid w:val="001D4A9C"/>
    <w:rsid w:val="001D548B"/>
    <w:rsid w:val="001D54B8"/>
    <w:rsid w:val="001D5518"/>
    <w:rsid w:val="001D57C3"/>
    <w:rsid w:val="001D6041"/>
    <w:rsid w:val="001D6107"/>
    <w:rsid w:val="001D624E"/>
    <w:rsid w:val="001D724A"/>
    <w:rsid w:val="001D785B"/>
    <w:rsid w:val="001E058C"/>
    <w:rsid w:val="001E0FDC"/>
    <w:rsid w:val="001E1492"/>
    <w:rsid w:val="001E2105"/>
    <w:rsid w:val="001E29FF"/>
    <w:rsid w:val="001E2F60"/>
    <w:rsid w:val="001E3875"/>
    <w:rsid w:val="001E3BCC"/>
    <w:rsid w:val="001E40C3"/>
    <w:rsid w:val="001E46DC"/>
    <w:rsid w:val="001E4E19"/>
    <w:rsid w:val="001E5720"/>
    <w:rsid w:val="001E5A03"/>
    <w:rsid w:val="001E5AAA"/>
    <w:rsid w:val="001E5CFB"/>
    <w:rsid w:val="001E6E98"/>
    <w:rsid w:val="001E6F9C"/>
    <w:rsid w:val="001E75B4"/>
    <w:rsid w:val="001E76B6"/>
    <w:rsid w:val="001E7CA2"/>
    <w:rsid w:val="001F00C9"/>
    <w:rsid w:val="001F0ECB"/>
    <w:rsid w:val="001F256B"/>
    <w:rsid w:val="001F25C1"/>
    <w:rsid w:val="001F2EB8"/>
    <w:rsid w:val="001F3E39"/>
    <w:rsid w:val="001F45DF"/>
    <w:rsid w:val="001F475D"/>
    <w:rsid w:val="001F4862"/>
    <w:rsid w:val="001F55F0"/>
    <w:rsid w:val="001F57A8"/>
    <w:rsid w:val="001F6C43"/>
    <w:rsid w:val="001F6C5B"/>
    <w:rsid w:val="001F6CE9"/>
    <w:rsid w:val="001F79FC"/>
    <w:rsid w:val="001F7B61"/>
    <w:rsid w:val="00200607"/>
    <w:rsid w:val="00200765"/>
    <w:rsid w:val="002007DA"/>
    <w:rsid w:val="00200980"/>
    <w:rsid w:val="002009AB"/>
    <w:rsid w:val="002009AE"/>
    <w:rsid w:val="00200E2C"/>
    <w:rsid w:val="00201286"/>
    <w:rsid w:val="00201ACA"/>
    <w:rsid w:val="00201D85"/>
    <w:rsid w:val="00202104"/>
    <w:rsid w:val="00202610"/>
    <w:rsid w:val="00202998"/>
    <w:rsid w:val="00202BAF"/>
    <w:rsid w:val="00202DA2"/>
    <w:rsid w:val="00203424"/>
    <w:rsid w:val="00203572"/>
    <w:rsid w:val="002035D1"/>
    <w:rsid w:val="00203D30"/>
    <w:rsid w:val="002042BC"/>
    <w:rsid w:val="00204AE0"/>
    <w:rsid w:val="00204D9A"/>
    <w:rsid w:val="00204F4F"/>
    <w:rsid w:val="00205E0F"/>
    <w:rsid w:val="00205E9C"/>
    <w:rsid w:val="0020621D"/>
    <w:rsid w:val="002063A8"/>
    <w:rsid w:val="002074CC"/>
    <w:rsid w:val="0020765F"/>
    <w:rsid w:val="00207ACD"/>
    <w:rsid w:val="00207B63"/>
    <w:rsid w:val="00207E7F"/>
    <w:rsid w:val="0021010D"/>
    <w:rsid w:val="002104F5"/>
    <w:rsid w:val="00210F68"/>
    <w:rsid w:val="002111E8"/>
    <w:rsid w:val="002117ED"/>
    <w:rsid w:val="0021268A"/>
    <w:rsid w:val="00212BB1"/>
    <w:rsid w:val="00212FDD"/>
    <w:rsid w:val="002137DE"/>
    <w:rsid w:val="002139E1"/>
    <w:rsid w:val="00213F1B"/>
    <w:rsid w:val="002146F2"/>
    <w:rsid w:val="00214926"/>
    <w:rsid w:val="00214CB7"/>
    <w:rsid w:val="00215147"/>
    <w:rsid w:val="002159BF"/>
    <w:rsid w:val="00215FA3"/>
    <w:rsid w:val="00216391"/>
    <w:rsid w:val="00216656"/>
    <w:rsid w:val="00216FDF"/>
    <w:rsid w:val="0021750A"/>
    <w:rsid w:val="0021785E"/>
    <w:rsid w:val="00217860"/>
    <w:rsid w:val="00217E3F"/>
    <w:rsid w:val="00220411"/>
    <w:rsid w:val="002206BA"/>
    <w:rsid w:val="002208AF"/>
    <w:rsid w:val="00220E8F"/>
    <w:rsid w:val="00220EF3"/>
    <w:rsid w:val="002217D5"/>
    <w:rsid w:val="00221DD1"/>
    <w:rsid w:val="0022227E"/>
    <w:rsid w:val="00222916"/>
    <w:rsid w:val="00222C39"/>
    <w:rsid w:val="00222ECB"/>
    <w:rsid w:val="00223549"/>
    <w:rsid w:val="002241B3"/>
    <w:rsid w:val="0022480E"/>
    <w:rsid w:val="00224894"/>
    <w:rsid w:val="00224E36"/>
    <w:rsid w:val="00225296"/>
    <w:rsid w:val="0022597C"/>
    <w:rsid w:val="00225ECC"/>
    <w:rsid w:val="002260AD"/>
    <w:rsid w:val="00227F83"/>
    <w:rsid w:val="00230259"/>
    <w:rsid w:val="00230AAD"/>
    <w:rsid w:val="00230B48"/>
    <w:rsid w:val="00231324"/>
    <w:rsid w:val="00232655"/>
    <w:rsid w:val="00232DB5"/>
    <w:rsid w:val="002332F5"/>
    <w:rsid w:val="002336FA"/>
    <w:rsid w:val="00233FE2"/>
    <w:rsid w:val="00234BE5"/>
    <w:rsid w:val="002352AF"/>
    <w:rsid w:val="002357F4"/>
    <w:rsid w:val="0023595D"/>
    <w:rsid w:val="00235B50"/>
    <w:rsid w:val="00236F5D"/>
    <w:rsid w:val="00237864"/>
    <w:rsid w:val="00240487"/>
    <w:rsid w:val="00240BFB"/>
    <w:rsid w:val="002411A6"/>
    <w:rsid w:val="00241F54"/>
    <w:rsid w:val="00242118"/>
    <w:rsid w:val="002422AB"/>
    <w:rsid w:val="0024232B"/>
    <w:rsid w:val="00242543"/>
    <w:rsid w:val="002429C2"/>
    <w:rsid w:val="00242B98"/>
    <w:rsid w:val="00242DD0"/>
    <w:rsid w:val="00243179"/>
    <w:rsid w:val="0024317B"/>
    <w:rsid w:val="00243552"/>
    <w:rsid w:val="00243C9B"/>
    <w:rsid w:val="00243F61"/>
    <w:rsid w:val="00244083"/>
    <w:rsid w:val="00244728"/>
    <w:rsid w:val="00244796"/>
    <w:rsid w:val="00244F0B"/>
    <w:rsid w:val="002453F3"/>
    <w:rsid w:val="002454D5"/>
    <w:rsid w:val="00245A35"/>
    <w:rsid w:val="00245E5C"/>
    <w:rsid w:val="002468B6"/>
    <w:rsid w:val="00246BBB"/>
    <w:rsid w:val="00246DD9"/>
    <w:rsid w:val="00246DF1"/>
    <w:rsid w:val="00247023"/>
    <w:rsid w:val="00250ADE"/>
    <w:rsid w:val="00251076"/>
    <w:rsid w:val="002510C8"/>
    <w:rsid w:val="00251E87"/>
    <w:rsid w:val="00252E84"/>
    <w:rsid w:val="002530D8"/>
    <w:rsid w:val="002531DD"/>
    <w:rsid w:val="002533D4"/>
    <w:rsid w:val="0025407B"/>
    <w:rsid w:val="002549C5"/>
    <w:rsid w:val="0025513F"/>
    <w:rsid w:val="002559E4"/>
    <w:rsid w:val="002559FD"/>
    <w:rsid w:val="0025638E"/>
    <w:rsid w:val="0025666A"/>
    <w:rsid w:val="00256A40"/>
    <w:rsid w:val="00256EDF"/>
    <w:rsid w:val="00256EFC"/>
    <w:rsid w:val="00257152"/>
    <w:rsid w:val="0025785B"/>
    <w:rsid w:val="00257919"/>
    <w:rsid w:val="0025794C"/>
    <w:rsid w:val="002604FB"/>
    <w:rsid w:val="00260650"/>
    <w:rsid w:val="00260823"/>
    <w:rsid w:val="002608AE"/>
    <w:rsid w:val="0026096A"/>
    <w:rsid w:val="00261CB5"/>
    <w:rsid w:val="002624CF"/>
    <w:rsid w:val="00262501"/>
    <w:rsid w:val="00262B6C"/>
    <w:rsid w:val="00262D67"/>
    <w:rsid w:val="00263579"/>
    <w:rsid w:val="00263AD4"/>
    <w:rsid w:val="00263EFA"/>
    <w:rsid w:val="00264400"/>
    <w:rsid w:val="002646B4"/>
    <w:rsid w:val="0026481A"/>
    <w:rsid w:val="00264FEF"/>
    <w:rsid w:val="002657DA"/>
    <w:rsid w:val="002659E4"/>
    <w:rsid w:val="0026610A"/>
    <w:rsid w:val="00267459"/>
    <w:rsid w:val="00267935"/>
    <w:rsid w:val="00270077"/>
    <w:rsid w:val="00270453"/>
    <w:rsid w:val="00270FF2"/>
    <w:rsid w:val="00272591"/>
    <w:rsid w:val="00272F08"/>
    <w:rsid w:val="0027303D"/>
    <w:rsid w:val="00274537"/>
    <w:rsid w:val="002754C3"/>
    <w:rsid w:val="00275597"/>
    <w:rsid w:val="002759A0"/>
    <w:rsid w:val="00275CB6"/>
    <w:rsid w:val="00276241"/>
    <w:rsid w:val="00276312"/>
    <w:rsid w:val="0027661C"/>
    <w:rsid w:val="0027665F"/>
    <w:rsid w:val="0027684D"/>
    <w:rsid w:val="00277185"/>
    <w:rsid w:val="002771A7"/>
    <w:rsid w:val="002772F2"/>
    <w:rsid w:val="0027734C"/>
    <w:rsid w:val="00277B2D"/>
    <w:rsid w:val="00277C07"/>
    <w:rsid w:val="00277DF4"/>
    <w:rsid w:val="00277F33"/>
    <w:rsid w:val="002802EB"/>
    <w:rsid w:val="0028071D"/>
    <w:rsid w:val="00280C91"/>
    <w:rsid w:val="00280E11"/>
    <w:rsid w:val="00281471"/>
    <w:rsid w:val="00281916"/>
    <w:rsid w:val="00281C72"/>
    <w:rsid w:val="00282163"/>
    <w:rsid w:val="00282BBD"/>
    <w:rsid w:val="00282D18"/>
    <w:rsid w:val="00283463"/>
    <w:rsid w:val="00283B96"/>
    <w:rsid w:val="00283C2D"/>
    <w:rsid w:val="00283D94"/>
    <w:rsid w:val="00283E8B"/>
    <w:rsid w:val="00283ED3"/>
    <w:rsid w:val="00283FDC"/>
    <w:rsid w:val="0028450B"/>
    <w:rsid w:val="00284568"/>
    <w:rsid w:val="002848E4"/>
    <w:rsid w:val="00284C5D"/>
    <w:rsid w:val="00285BA4"/>
    <w:rsid w:val="00285F4A"/>
    <w:rsid w:val="0028652B"/>
    <w:rsid w:val="0028666E"/>
    <w:rsid w:val="00286B7E"/>
    <w:rsid w:val="00286D51"/>
    <w:rsid w:val="00286F6E"/>
    <w:rsid w:val="0029053C"/>
    <w:rsid w:val="00290B5E"/>
    <w:rsid w:val="002915C4"/>
    <w:rsid w:val="0029199F"/>
    <w:rsid w:val="00291D88"/>
    <w:rsid w:val="00292108"/>
    <w:rsid w:val="002923A5"/>
    <w:rsid w:val="00292734"/>
    <w:rsid w:val="0029281D"/>
    <w:rsid w:val="00292A37"/>
    <w:rsid w:val="0029324E"/>
    <w:rsid w:val="00293695"/>
    <w:rsid w:val="00293821"/>
    <w:rsid w:val="00293868"/>
    <w:rsid w:val="00295120"/>
    <w:rsid w:val="002957E8"/>
    <w:rsid w:val="00295C6B"/>
    <w:rsid w:val="00295DFA"/>
    <w:rsid w:val="00296076"/>
    <w:rsid w:val="00296A42"/>
    <w:rsid w:val="00296ECD"/>
    <w:rsid w:val="00296F6A"/>
    <w:rsid w:val="002973F8"/>
    <w:rsid w:val="00297554"/>
    <w:rsid w:val="002A02E8"/>
    <w:rsid w:val="002A0B55"/>
    <w:rsid w:val="002A0B76"/>
    <w:rsid w:val="002A0C8D"/>
    <w:rsid w:val="002A12D4"/>
    <w:rsid w:val="002A17FE"/>
    <w:rsid w:val="002A1F15"/>
    <w:rsid w:val="002A1FDD"/>
    <w:rsid w:val="002A2088"/>
    <w:rsid w:val="002A267E"/>
    <w:rsid w:val="002A26FD"/>
    <w:rsid w:val="002A325E"/>
    <w:rsid w:val="002A37EE"/>
    <w:rsid w:val="002A3828"/>
    <w:rsid w:val="002A3D3D"/>
    <w:rsid w:val="002A3F17"/>
    <w:rsid w:val="002A4426"/>
    <w:rsid w:val="002A48A9"/>
    <w:rsid w:val="002A4917"/>
    <w:rsid w:val="002A49F0"/>
    <w:rsid w:val="002A4A12"/>
    <w:rsid w:val="002A514C"/>
    <w:rsid w:val="002A55C3"/>
    <w:rsid w:val="002A5987"/>
    <w:rsid w:val="002A6113"/>
    <w:rsid w:val="002A636A"/>
    <w:rsid w:val="002A7238"/>
    <w:rsid w:val="002A7476"/>
    <w:rsid w:val="002A7964"/>
    <w:rsid w:val="002A7A63"/>
    <w:rsid w:val="002A7C13"/>
    <w:rsid w:val="002A7C5E"/>
    <w:rsid w:val="002B0974"/>
    <w:rsid w:val="002B0CDD"/>
    <w:rsid w:val="002B1277"/>
    <w:rsid w:val="002B1878"/>
    <w:rsid w:val="002B1BED"/>
    <w:rsid w:val="002B22BF"/>
    <w:rsid w:val="002B2B65"/>
    <w:rsid w:val="002B2F4F"/>
    <w:rsid w:val="002B3309"/>
    <w:rsid w:val="002B3962"/>
    <w:rsid w:val="002B3B13"/>
    <w:rsid w:val="002B432C"/>
    <w:rsid w:val="002B4427"/>
    <w:rsid w:val="002B443F"/>
    <w:rsid w:val="002B4D2E"/>
    <w:rsid w:val="002B50DC"/>
    <w:rsid w:val="002B53FD"/>
    <w:rsid w:val="002B5732"/>
    <w:rsid w:val="002B5821"/>
    <w:rsid w:val="002B5B39"/>
    <w:rsid w:val="002B5D77"/>
    <w:rsid w:val="002B5E4E"/>
    <w:rsid w:val="002B73E4"/>
    <w:rsid w:val="002B74BE"/>
    <w:rsid w:val="002C01D3"/>
    <w:rsid w:val="002C0538"/>
    <w:rsid w:val="002C0A35"/>
    <w:rsid w:val="002C0D12"/>
    <w:rsid w:val="002C1A1F"/>
    <w:rsid w:val="002C1FDD"/>
    <w:rsid w:val="002C2DD2"/>
    <w:rsid w:val="002C2F59"/>
    <w:rsid w:val="002C430B"/>
    <w:rsid w:val="002C5900"/>
    <w:rsid w:val="002C5A9C"/>
    <w:rsid w:val="002C5AD8"/>
    <w:rsid w:val="002C5D27"/>
    <w:rsid w:val="002C6795"/>
    <w:rsid w:val="002C68F3"/>
    <w:rsid w:val="002C6ACA"/>
    <w:rsid w:val="002C6B4D"/>
    <w:rsid w:val="002C6F07"/>
    <w:rsid w:val="002D0F27"/>
    <w:rsid w:val="002D13A5"/>
    <w:rsid w:val="002D13EA"/>
    <w:rsid w:val="002D1779"/>
    <w:rsid w:val="002D27EA"/>
    <w:rsid w:val="002D2CEA"/>
    <w:rsid w:val="002D2EC0"/>
    <w:rsid w:val="002D34D8"/>
    <w:rsid w:val="002D551D"/>
    <w:rsid w:val="002D5930"/>
    <w:rsid w:val="002D5D26"/>
    <w:rsid w:val="002D6080"/>
    <w:rsid w:val="002D60DB"/>
    <w:rsid w:val="002D6138"/>
    <w:rsid w:val="002D61B0"/>
    <w:rsid w:val="002D6E30"/>
    <w:rsid w:val="002D700E"/>
    <w:rsid w:val="002D702C"/>
    <w:rsid w:val="002D70E9"/>
    <w:rsid w:val="002D73C0"/>
    <w:rsid w:val="002D75B9"/>
    <w:rsid w:val="002D78D3"/>
    <w:rsid w:val="002E0439"/>
    <w:rsid w:val="002E0A3C"/>
    <w:rsid w:val="002E0AF1"/>
    <w:rsid w:val="002E0B24"/>
    <w:rsid w:val="002E0BCC"/>
    <w:rsid w:val="002E0CAC"/>
    <w:rsid w:val="002E1AFC"/>
    <w:rsid w:val="002E22B4"/>
    <w:rsid w:val="002E24A7"/>
    <w:rsid w:val="002E2C3F"/>
    <w:rsid w:val="002E2D91"/>
    <w:rsid w:val="002E3086"/>
    <w:rsid w:val="002E3B94"/>
    <w:rsid w:val="002E43C7"/>
    <w:rsid w:val="002E4B2D"/>
    <w:rsid w:val="002E5453"/>
    <w:rsid w:val="002E585B"/>
    <w:rsid w:val="002E5E18"/>
    <w:rsid w:val="002E698E"/>
    <w:rsid w:val="002E77DD"/>
    <w:rsid w:val="002E79DD"/>
    <w:rsid w:val="002E7FA0"/>
    <w:rsid w:val="002F0347"/>
    <w:rsid w:val="002F04D1"/>
    <w:rsid w:val="002F0596"/>
    <w:rsid w:val="002F1087"/>
    <w:rsid w:val="002F18D6"/>
    <w:rsid w:val="002F1E80"/>
    <w:rsid w:val="002F2236"/>
    <w:rsid w:val="002F22F9"/>
    <w:rsid w:val="002F3EAC"/>
    <w:rsid w:val="002F3FB0"/>
    <w:rsid w:val="002F4047"/>
    <w:rsid w:val="002F49C6"/>
    <w:rsid w:val="002F4FF0"/>
    <w:rsid w:val="002F5309"/>
    <w:rsid w:val="002F560A"/>
    <w:rsid w:val="002F56E3"/>
    <w:rsid w:val="002F7238"/>
    <w:rsid w:val="002F7CCB"/>
    <w:rsid w:val="002F7D18"/>
    <w:rsid w:val="002F7DCA"/>
    <w:rsid w:val="002F7F40"/>
    <w:rsid w:val="0030040F"/>
    <w:rsid w:val="00300650"/>
    <w:rsid w:val="00300F50"/>
    <w:rsid w:val="00300FC7"/>
    <w:rsid w:val="003017A7"/>
    <w:rsid w:val="003019E5"/>
    <w:rsid w:val="00302126"/>
    <w:rsid w:val="00302C90"/>
    <w:rsid w:val="00303D98"/>
    <w:rsid w:val="003045F8"/>
    <w:rsid w:val="00304758"/>
    <w:rsid w:val="0030497F"/>
    <w:rsid w:val="00304B85"/>
    <w:rsid w:val="00304C5E"/>
    <w:rsid w:val="00304C9A"/>
    <w:rsid w:val="00305194"/>
    <w:rsid w:val="00305376"/>
    <w:rsid w:val="00305593"/>
    <w:rsid w:val="0030568D"/>
    <w:rsid w:val="0030673B"/>
    <w:rsid w:val="003067DC"/>
    <w:rsid w:val="00306D60"/>
    <w:rsid w:val="003075A8"/>
    <w:rsid w:val="00307C0F"/>
    <w:rsid w:val="003101B2"/>
    <w:rsid w:val="0031092F"/>
    <w:rsid w:val="00310B73"/>
    <w:rsid w:val="00310B99"/>
    <w:rsid w:val="003115B2"/>
    <w:rsid w:val="00312485"/>
    <w:rsid w:val="00312D48"/>
    <w:rsid w:val="00313371"/>
    <w:rsid w:val="0031383D"/>
    <w:rsid w:val="00313C6B"/>
    <w:rsid w:val="00314642"/>
    <w:rsid w:val="003147B5"/>
    <w:rsid w:val="00315103"/>
    <w:rsid w:val="00315AE8"/>
    <w:rsid w:val="00316E79"/>
    <w:rsid w:val="0031703E"/>
    <w:rsid w:val="00317B90"/>
    <w:rsid w:val="003203FA"/>
    <w:rsid w:val="00320502"/>
    <w:rsid w:val="00320576"/>
    <w:rsid w:val="0032076D"/>
    <w:rsid w:val="00320CB0"/>
    <w:rsid w:val="00321CCF"/>
    <w:rsid w:val="003233ED"/>
    <w:rsid w:val="00323571"/>
    <w:rsid w:val="0032366D"/>
    <w:rsid w:val="00323F7D"/>
    <w:rsid w:val="00324900"/>
    <w:rsid w:val="00324DF7"/>
    <w:rsid w:val="00324FB0"/>
    <w:rsid w:val="0032503C"/>
    <w:rsid w:val="00325186"/>
    <w:rsid w:val="003253B4"/>
    <w:rsid w:val="00325665"/>
    <w:rsid w:val="003258D7"/>
    <w:rsid w:val="00325AE2"/>
    <w:rsid w:val="00325DB9"/>
    <w:rsid w:val="00325DFB"/>
    <w:rsid w:val="00326323"/>
    <w:rsid w:val="0032650B"/>
    <w:rsid w:val="003301BC"/>
    <w:rsid w:val="003312B7"/>
    <w:rsid w:val="00331323"/>
    <w:rsid w:val="00331A2D"/>
    <w:rsid w:val="00332F21"/>
    <w:rsid w:val="003335C1"/>
    <w:rsid w:val="00333766"/>
    <w:rsid w:val="0033380C"/>
    <w:rsid w:val="00333F27"/>
    <w:rsid w:val="0033493C"/>
    <w:rsid w:val="00334991"/>
    <w:rsid w:val="00335C6A"/>
    <w:rsid w:val="003375EC"/>
    <w:rsid w:val="0033767D"/>
    <w:rsid w:val="003377B1"/>
    <w:rsid w:val="00337DF5"/>
    <w:rsid w:val="0034004E"/>
    <w:rsid w:val="00340BC6"/>
    <w:rsid w:val="00342122"/>
    <w:rsid w:val="00342409"/>
    <w:rsid w:val="00342424"/>
    <w:rsid w:val="00342526"/>
    <w:rsid w:val="00342538"/>
    <w:rsid w:val="00342F62"/>
    <w:rsid w:val="00342FDD"/>
    <w:rsid w:val="003434CF"/>
    <w:rsid w:val="003435E4"/>
    <w:rsid w:val="00343A22"/>
    <w:rsid w:val="0034404D"/>
    <w:rsid w:val="003447AE"/>
    <w:rsid w:val="00344A8D"/>
    <w:rsid w:val="00344B2F"/>
    <w:rsid w:val="00344B95"/>
    <w:rsid w:val="00345069"/>
    <w:rsid w:val="003454E5"/>
    <w:rsid w:val="00345B74"/>
    <w:rsid w:val="00345D13"/>
    <w:rsid w:val="00345F52"/>
    <w:rsid w:val="00347644"/>
    <w:rsid w:val="003477D8"/>
    <w:rsid w:val="003507E4"/>
    <w:rsid w:val="00350A04"/>
    <w:rsid w:val="00351554"/>
    <w:rsid w:val="0035174A"/>
    <w:rsid w:val="00351964"/>
    <w:rsid w:val="00351D73"/>
    <w:rsid w:val="003522DD"/>
    <w:rsid w:val="003526CA"/>
    <w:rsid w:val="003529DC"/>
    <w:rsid w:val="00352A03"/>
    <w:rsid w:val="003531BB"/>
    <w:rsid w:val="003532FC"/>
    <w:rsid w:val="003538AC"/>
    <w:rsid w:val="00353A37"/>
    <w:rsid w:val="003547C9"/>
    <w:rsid w:val="0035491D"/>
    <w:rsid w:val="00354ACA"/>
    <w:rsid w:val="00356B18"/>
    <w:rsid w:val="0035703F"/>
    <w:rsid w:val="00357FCC"/>
    <w:rsid w:val="0036117B"/>
    <w:rsid w:val="003611F5"/>
    <w:rsid w:val="003627FC"/>
    <w:rsid w:val="00362F4F"/>
    <w:rsid w:val="00363A81"/>
    <w:rsid w:val="00364697"/>
    <w:rsid w:val="00364BF7"/>
    <w:rsid w:val="003652ED"/>
    <w:rsid w:val="00365449"/>
    <w:rsid w:val="00365E91"/>
    <w:rsid w:val="00366685"/>
    <w:rsid w:val="00366AA1"/>
    <w:rsid w:val="00366E38"/>
    <w:rsid w:val="00366F96"/>
    <w:rsid w:val="0036711B"/>
    <w:rsid w:val="00367425"/>
    <w:rsid w:val="0036746A"/>
    <w:rsid w:val="00367FEC"/>
    <w:rsid w:val="003702C0"/>
    <w:rsid w:val="00370FD3"/>
    <w:rsid w:val="0037121C"/>
    <w:rsid w:val="00371C9E"/>
    <w:rsid w:val="00372300"/>
    <w:rsid w:val="00372587"/>
    <w:rsid w:val="00372B9A"/>
    <w:rsid w:val="00372CE5"/>
    <w:rsid w:val="0037308D"/>
    <w:rsid w:val="003738CA"/>
    <w:rsid w:val="003738D3"/>
    <w:rsid w:val="00374F02"/>
    <w:rsid w:val="0037538C"/>
    <w:rsid w:val="00375DD6"/>
    <w:rsid w:val="0037622C"/>
    <w:rsid w:val="00376939"/>
    <w:rsid w:val="00376AEA"/>
    <w:rsid w:val="00377CCB"/>
    <w:rsid w:val="00377DD7"/>
    <w:rsid w:val="00377F86"/>
    <w:rsid w:val="00377F95"/>
    <w:rsid w:val="00380472"/>
    <w:rsid w:val="003807FC"/>
    <w:rsid w:val="00380B5C"/>
    <w:rsid w:val="003816B1"/>
    <w:rsid w:val="00381A06"/>
    <w:rsid w:val="00381AFA"/>
    <w:rsid w:val="0038278C"/>
    <w:rsid w:val="00382BC7"/>
    <w:rsid w:val="00383DF3"/>
    <w:rsid w:val="00384137"/>
    <w:rsid w:val="00384699"/>
    <w:rsid w:val="0038480A"/>
    <w:rsid w:val="00384AD1"/>
    <w:rsid w:val="00385463"/>
    <w:rsid w:val="00385636"/>
    <w:rsid w:val="0038587D"/>
    <w:rsid w:val="00385C1A"/>
    <w:rsid w:val="00385E62"/>
    <w:rsid w:val="003861BA"/>
    <w:rsid w:val="00386401"/>
    <w:rsid w:val="00386566"/>
    <w:rsid w:val="003868EB"/>
    <w:rsid w:val="00386BBB"/>
    <w:rsid w:val="00387847"/>
    <w:rsid w:val="003879A0"/>
    <w:rsid w:val="00387AC9"/>
    <w:rsid w:val="00391105"/>
    <w:rsid w:val="0039142E"/>
    <w:rsid w:val="003918F2"/>
    <w:rsid w:val="00391FFC"/>
    <w:rsid w:val="003927D5"/>
    <w:rsid w:val="00392D47"/>
    <w:rsid w:val="003931B9"/>
    <w:rsid w:val="003932E3"/>
    <w:rsid w:val="003938F5"/>
    <w:rsid w:val="00393B83"/>
    <w:rsid w:val="00393F32"/>
    <w:rsid w:val="00393F78"/>
    <w:rsid w:val="00394AA5"/>
    <w:rsid w:val="00394D21"/>
    <w:rsid w:val="0039503E"/>
    <w:rsid w:val="00395CC4"/>
    <w:rsid w:val="00395D63"/>
    <w:rsid w:val="003961DD"/>
    <w:rsid w:val="00396310"/>
    <w:rsid w:val="00396AA2"/>
    <w:rsid w:val="0039725D"/>
    <w:rsid w:val="0039731F"/>
    <w:rsid w:val="003975F5"/>
    <w:rsid w:val="003977B3"/>
    <w:rsid w:val="00397CE5"/>
    <w:rsid w:val="003A1456"/>
    <w:rsid w:val="003A1532"/>
    <w:rsid w:val="003A1A9D"/>
    <w:rsid w:val="003A1D0E"/>
    <w:rsid w:val="003A21B5"/>
    <w:rsid w:val="003A224F"/>
    <w:rsid w:val="003A2443"/>
    <w:rsid w:val="003A2515"/>
    <w:rsid w:val="003A25CE"/>
    <w:rsid w:val="003A2C42"/>
    <w:rsid w:val="003A34BC"/>
    <w:rsid w:val="003A3621"/>
    <w:rsid w:val="003A37B1"/>
    <w:rsid w:val="003A3B29"/>
    <w:rsid w:val="003A3BEE"/>
    <w:rsid w:val="003A46B1"/>
    <w:rsid w:val="003A4F3C"/>
    <w:rsid w:val="003A54EB"/>
    <w:rsid w:val="003A54FF"/>
    <w:rsid w:val="003A5E01"/>
    <w:rsid w:val="003A6074"/>
    <w:rsid w:val="003A60BD"/>
    <w:rsid w:val="003A6106"/>
    <w:rsid w:val="003A68C1"/>
    <w:rsid w:val="003A6DA5"/>
    <w:rsid w:val="003A6E00"/>
    <w:rsid w:val="003A7918"/>
    <w:rsid w:val="003B1125"/>
    <w:rsid w:val="003B1671"/>
    <w:rsid w:val="003B196E"/>
    <w:rsid w:val="003B1AFD"/>
    <w:rsid w:val="003B2314"/>
    <w:rsid w:val="003B2868"/>
    <w:rsid w:val="003B2912"/>
    <w:rsid w:val="003B2AEC"/>
    <w:rsid w:val="003B2FB3"/>
    <w:rsid w:val="003B3B75"/>
    <w:rsid w:val="003B3CE5"/>
    <w:rsid w:val="003B3D36"/>
    <w:rsid w:val="003B4537"/>
    <w:rsid w:val="003B4850"/>
    <w:rsid w:val="003B4BCF"/>
    <w:rsid w:val="003B4C31"/>
    <w:rsid w:val="003B4F34"/>
    <w:rsid w:val="003B5179"/>
    <w:rsid w:val="003B6AFB"/>
    <w:rsid w:val="003B73B7"/>
    <w:rsid w:val="003B78AB"/>
    <w:rsid w:val="003B7E1A"/>
    <w:rsid w:val="003B7FE5"/>
    <w:rsid w:val="003C0303"/>
    <w:rsid w:val="003C037A"/>
    <w:rsid w:val="003C0F5D"/>
    <w:rsid w:val="003C0F6C"/>
    <w:rsid w:val="003C10AF"/>
    <w:rsid w:val="003C10E0"/>
    <w:rsid w:val="003C2331"/>
    <w:rsid w:val="003C23F5"/>
    <w:rsid w:val="003C2C86"/>
    <w:rsid w:val="003C3D7C"/>
    <w:rsid w:val="003C3EE4"/>
    <w:rsid w:val="003C454D"/>
    <w:rsid w:val="003C4B90"/>
    <w:rsid w:val="003C5103"/>
    <w:rsid w:val="003C64CA"/>
    <w:rsid w:val="003C6952"/>
    <w:rsid w:val="003C74E8"/>
    <w:rsid w:val="003C779E"/>
    <w:rsid w:val="003C7BDF"/>
    <w:rsid w:val="003D00CC"/>
    <w:rsid w:val="003D1662"/>
    <w:rsid w:val="003D1A49"/>
    <w:rsid w:val="003D1DE2"/>
    <w:rsid w:val="003D1FDB"/>
    <w:rsid w:val="003D21B8"/>
    <w:rsid w:val="003D242E"/>
    <w:rsid w:val="003D31A0"/>
    <w:rsid w:val="003D3A92"/>
    <w:rsid w:val="003D4344"/>
    <w:rsid w:val="003D496F"/>
    <w:rsid w:val="003D4D68"/>
    <w:rsid w:val="003D4DD3"/>
    <w:rsid w:val="003D54A7"/>
    <w:rsid w:val="003D6108"/>
    <w:rsid w:val="003D62BA"/>
    <w:rsid w:val="003D666E"/>
    <w:rsid w:val="003D7334"/>
    <w:rsid w:val="003D7813"/>
    <w:rsid w:val="003E0C94"/>
    <w:rsid w:val="003E1A30"/>
    <w:rsid w:val="003E23EE"/>
    <w:rsid w:val="003E2479"/>
    <w:rsid w:val="003E2898"/>
    <w:rsid w:val="003E2B07"/>
    <w:rsid w:val="003E2B25"/>
    <w:rsid w:val="003E372D"/>
    <w:rsid w:val="003E425A"/>
    <w:rsid w:val="003E494C"/>
    <w:rsid w:val="003E504F"/>
    <w:rsid w:val="003E5C7E"/>
    <w:rsid w:val="003E626E"/>
    <w:rsid w:val="003E640C"/>
    <w:rsid w:val="003E71F5"/>
    <w:rsid w:val="003E71FA"/>
    <w:rsid w:val="003E79DC"/>
    <w:rsid w:val="003E7AC5"/>
    <w:rsid w:val="003F033E"/>
    <w:rsid w:val="003F0439"/>
    <w:rsid w:val="003F1AA5"/>
    <w:rsid w:val="003F2373"/>
    <w:rsid w:val="003F2525"/>
    <w:rsid w:val="003F27F0"/>
    <w:rsid w:val="003F2852"/>
    <w:rsid w:val="003F348C"/>
    <w:rsid w:val="003F50FE"/>
    <w:rsid w:val="003F522C"/>
    <w:rsid w:val="003F5C9A"/>
    <w:rsid w:val="003F5D73"/>
    <w:rsid w:val="003F7701"/>
    <w:rsid w:val="00400557"/>
    <w:rsid w:val="004005C8"/>
    <w:rsid w:val="004009E3"/>
    <w:rsid w:val="00401C9A"/>
    <w:rsid w:val="00402000"/>
    <w:rsid w:val="0040208C"/>
    <w:rsid w:val="0040234F"/>
    <w:rsid w:val="00402494"/>
    <w:rsid w:val="00403930"/>
    <w:rsid w:val="00403F1D"/>
    <w:rsid w:val="004044DC"/>
    <w:rsid w:val="00405915"/>
    <w:rsid w:val="0040623F"/>
    <w:rsid w:val="00407132"/>
    <w:rsid w:val="00407372"/>
    <w:rsid w:val="00407407"/>
    <w:rsid w:val="004078EC"/>
    <w:rsid w:val="004079D2"/>
    <w:rsid w:val="00407A74"/>
    <w:rsid w:val="00407B58"/>
    <w:rsid w:val="0041006C"/>
    <w:rsid w:val="004107B4"/>
    <w:rsid w:val="00410851"/>
    <w:rsid w:val="004108FC"/>
    <w:rsid w:val="00410A57"/>
    <w:rsid w:val="00410D7D"/>
    <w:rsid w:val="00411276"/>
    <w:rsid w:val="00411E45"/>
    <w:rsid w:val="004125D1"/>
    <w:rsid w:val="004125D7"/>
    <w:rsid w:val="0041295A"/>
    <w:rsid w:val="004137DB"/>
    <w:rsid w:val="00414003"/>
    <w:rsid w:val="004140FC"/>
    <w:rsid w:val="00414444"/>
    <w:rsid w:val="00414AF7"/>
    <w:rsid w:val="0041640A"/>
    <w:rsid w:val="00416411"/>
    <w:rsid w:val="0041680D"/>
    <w:rsid w:val="00416E5A"/>
    <w:rsid w:val="00417FD1"/>
    <w:rsid w:val="0042069D"/>
    <w:rsid w:val="00420710"/>
    <w:rsid w:val="00420CC9"/>
    <w:rsid w:val="0042131F"/>
    <w:rsid w:val="00421F6F"/>
    <w:rsid w:val="00421FC4"/>
    <w:rsid w:val="004229AD"/>
    <w:rsid w:val="00423315"/>
    <w:rsid w:val="004233CC"/>
    <w:rsid w:val="00424DA3"/>
    <w:rsid w:val="00425481"/>
    <w:rsid w:val="004269A4"/>
    <w:rsid w:val="00427AAB"/>
    <w:rsid w:val="00427E43"/>
    <w:rsid w:val="00430CFA"/>
    <w:rsid w:val="00431604"/>
    <w:rsid w:val="00431B0F"/>
    <w:rsid w:val="00431C5B"/>
    <w:rsid w:val="00431EA6"/>
    <w:rsid w:val="004322BD"/>
    <w:rsid w:val="004328B3"/>
    <w:rsid w:val="0043292B"/>
    <w:rsid w:val="00433306"/>
    <w:rsid w:val="004337EB"/>
    <w:rsid w:val="004339E8"/>
    <w:rsid w:val="004348EB"/>
    <w:rsid w:val="0043526F"/>
    <w:rsid w:val="00435487"/>
    <w:rsid w:val="004355D3"/>
    <w:rsid w:val="00436250"/>
    <w:rsid w:val="00436346"/>
    <w:rsid w:val="00436566"/>
    <w:rsid w:val="004368F0"/>
    <w:rsid w:val="00436AD3"/>
    <w:rsid w:val="004374F2"/>
    <w:rsid w:val="00440CCD"/>
    <w:rsid w:val="00440F2D"/>
    <w:rsid w:val="0044117D"/>
    <w:rsid w:val="004418C4"/>
    <w:rsid w:val="00441BC1"/>
    <w:rsid w:val="00441E94"/>
    <w:rsid w:val="00442275"/>
    <w:rsid w:val="00442297"/>
    <w:rsid w:val="00442D89"/>
    <w:rsid w:val="00442E8F"/>
    <w:rsid w:val="0044333D"/>
    <w:rsid w:val="004437E4"/>
    <w:rsid w:val="00443D6E"/>
    <w:rsid w:val="004445EA"/>
    <w:rsid w:val="00444A03"/>
    <w:rsid w:val="004456DE"/>
    <w:rsid w:val="00445B87"/>
    <w:rsid w:val="00445E7C"/>
    <w:rsid w:val="00445F34"/>
    <w:rsid w:val="00446822"/>
    <w:rsid w:val="00446E07"/>
    <w:rsid w:val="00446EA0"/>
    <w:rsid w:val="004473FB"/>
    <w:rsid w:val="00447551"/>
    <w:rsid w:val="00447921"/>
    <w:rsid w:val="00447C24"/>
    <w:rsid w:val="00447C60"/>
    <w:rsid w:val="00447CAB"/>
    <w:rsid w:val="0045067E"/>
    <w:rsid w:val="004507B5"/>
    <w:rsid w:val="00450F07"/>
    <w:rsid w:val="00451327"/>
    <w:rsid w:val="004513A1"/>
    <w:rsid w:val="00451478"/>
    <w:rsid w:val="00451515"/>
    <w:rsid w:val="00451BF1"/>
    <w:rsid w:val="00451E68"/>
    <w:rsid w:val="00452F9B"/>
    <w:rsid w:val="00452F9D"/>
    <w:rsid w:val="0045382C"/>
    <w:rsid w:val="00454A2D"/>
    <w:rsid w:val="0045553E"/>
    <w:rsid w:val="00455620"/>
    <w:rsid w:val="004557BE"/>
    <w:rsid w:val="00455BE2"/>
    <w:rsid w:val="0045611A"/>
    <w:rsid w:val="004561FE"/>
    <w:rsid w:val="00456AFD"/>
    <w:rsid w:val="00457385"/>
    <w:rsid w:val="00460524"/>
    <w:rsid w:val="004609D7"/>
    <w:rsid w:val="00460BFB"/>
    <w:rsid w:val="00460C66"/>
    <w:rsid w:val="00461008"/>
    <w:rsid w:val="0046130C"/>
    <w:rsid w:val="004614FF"/>
    <w:rsid w:val="0046164C"/>
    <w:rsid w:val="00461863"/>
    <w:rsid w:val="00461E94"/>
    <w:rsid w:val="0046215F"/>
    <w:rsid w:val="004624FD"/>
    <w:rsid w:val="00462B29"/>
    <w:rsid w:val="00462BFA"/>
    <w:rsid w:val="004636EE"/>
    <w:rsid w:val="00463853"/>
    <w:rsid w:val="00464078"/>
    <w:rsid w:val="004642A3"/>
    <w:rsid w:val="00464424"/>
    <w:rsid w:val="004646D0"/>
    <w:rsid w:val="0046485C"/>
    <w:rsid w:val="00464B98"/>
    <w:rsid w:val="00464DFF"/>
    <w:rsid w:val="00465082"/>
    <w:rsid w:val="00465758"/>
    <w:rsid w:val="004657AE"/>
    <w:rsid w:val="0046755B"/>
    <w:rsid w:val="0046788A"/>
    <w:rsid w:val="00470617"/>
    <w:rsid w:val="00470CDB"/>
    <w:rsid w:val="00470D5E"/>
    <w:rsid w:val="004714F1"/>
    <w:rsid w:val="00471597"/>
    <w:rsid w:val="004717E1"/>
    <w:rsid w:val="00471E2D"/>
    <w:rsid w:val="00472217"/>
    <w:rsid w:val="0047255A"/>
    <w:rsid w:val="00472760"/>
    <w:rsid w:val="00472936"/>
    <w:rsid w:val="00472CD2"/>
    <w:rsid w:val="00472E6F"/>
    <w:rsid w:val="00472FB3"/>
    <w:rsid w:val="00473094"/>
    <w:rsid w:val="004736BB"/>
    <w:rsid w:val="004741C7"/>
    <w:rsid w:val="00474870"/>
    <w:rsid w:val="00474B26"/>
    <w:rsid w:val="00475242"/>
    <w:rsid w:val="00475679"/>
    <w:rsid w:val="004765D9"/>
    <w:rsid w:val="0047735E"/>
    <w:rsid w:val="00477BE4"/>
    <w:rsid w:val="004800EF"/>
    <w:rsid w:val="004804CE"/>
    <w:rsid w:val="004813E2"/>
    <w:rsid w:val="004816B0"/>
    <w:rsid w:val="00481741"/>
    <w:rsid w:val="0048186F"/>
    <w:rsid w:val="00481880"/>
    <w:rsid w:val="00481CC3"/>
    <w:rsid w:val="00481FC7"/>
    <w:rsid w:val="0048232F"/>
    <w:rsid w:val="004824E0"/>
    <w:rsid w:val="004828B2"/>
    <w:rsid w:val="00482B40"/>
    <w:rsid w:val="00482EEB"/>
    <w:rsid w:val="00483244"/>
    <w:rsid w:val="0048356F"/>
    <w:rsid w:val="0048363A"/>
    <w:rsid w:val="00483B23"/>
    <w:rsid w:val="00483BF3"/>
    <w:rsid w:val="004848FF"/>
    <w:rsid w:val="0048492F"/>
    <w:rsid w:val="00484F32"/>
    <w:rsid w:val="00484F69"/>
    <w:rsid w:val="00485E2D"/>
    <w:rsid w:val="0048647D"/>
    <w:rsid w:val="0048690F"/>
    <w:rsid w:val="00486B2E"/>
    <w:rsid w:val="00486B87"/>
    <w:rsid w:val="00487317"/>
    <w:rsid w:val="004874F4"/>
    <w:rsid w:val="0048772F"/>
    <w:rsid w:val="004902FE"/>
    <w:rsid w:val="00490337"/>
    <w:rsid w:val="004912F5"/>
    <w:rsid w:val="0049141B"/>
    <w:rsid w:val="00491477"/>
    <w:rsid w:val="00491D29"/>
    <w:rsid w:val="00491DF8"/>
    <w:rsid w:val="00492695"/>
    <w:rsid w:val="004926FD"/>
    <w:rsid w:val="00492AB9"/>
    <w:rsid w:val="00493011"/>
    <w:rsid w:val="004930C1"/>
    <w:rsid w:val="004932A0"/>
    <w:rsid w:val="00493640"/>
    <w:rsid w:val="00493C2B"/>
    <w:rsid w:val="00493CFE"/>
    <w:rsid w:val="00493F92"/>
    <w:rsid w:val="004941BF"/>
    <w:rsid w:val="00494A8C"/>
    <w:rsid w:val="00496140"/>
    <w:rsid w:val="00496EDA"/>
    <w:rsid w:val="00496F8A"/>
    <w:rsid w:val="00497532"/>
    <w:rsid w:val="004977A1"/>
    <w:rsid w:val="004A0E3D"/>
    <w:rsid w:val="004A15E0"/>
    <w:rsid w:val="004A1B29"/>
    <w:rsid w:val="004A237D"/>
    <w:rsid w:val="004A237E"/>
    <w:rsid w:val="004A3A57"/>
    <w:rsid w:val="004A42F3"/>
    <w:rsid w:val="004A4456"/>
    <w:rsid w:val="004A463D"/>
    <w:rsid w:val="004A4989"/>
    <w:rsid w:val="004A4C5F"/>
    <w:rsid w:val="004A5009"/>
    <w:rsid w:val="004A5A52"/>
    <w:rsid w:val="004A6282"/>
    <w:rsid w:val="004A6925"/>
    <w:rsid w:val="004A6E04"/>
    <w:rsid w:val="004A7004"/>
    <w:rsid w:val="004A7495"/>
    <w:rsid w:val="004A773F"/>
    <w:rsid w:val="004A7ABA"/>
    <w:rsid w:val="004A7C7D"/>
    <w:rsid w:val="004A7E0E"/>
    <w:rsid w:val="004B0300"/>
    <w:rsid w:val="004B04BB"/>
    <w:rsid w:val="004B0609"/>
    <w:rsid w:val="004B0C5D"/>
    <w:rsid w:val="004B0CE2"/>
    <w:rsid w:val="004B1129"/>
    <w:rsid w:val="004B13AC"/>
    <w:rsid w:val="004B1633"/>
    <w:rsid w:val="004B1C3D"/>
    <w:rsid w:val="004B36A0"/>
    <w:rsid w:val="004B3A1E"/>
    <w:rsid w:val="004B44E4"/>
    <w:rsid w:val="004B4BDE"/>
    <w:rsid w:val="004B5C45"/>
    <w:rsid w:val="004B6A27"/>
    <w:rsid w:val="004B6A6B"/>
    <w:rsid w:val="004B6EEE"/>
    <w:rsid w:val="004B7BB3"/>
    <w:rsid w:val="004C02CB"/>
    <w:rsid w:val="004C0A0C"/>
    <w:rsid w:val="004C1207"/>
    <w:rsid w:val="004C171D"/>
    <w:rsid w:val="004C17F9"/>
    <w:rsid w:val="004C1A3E"/>
    <w:rsid w:val="004C1E60"/>
    <w:rsid w:val="004C1ECD"/>
    <w:rsid w:val="004C1EE4"/>
    <w:rsid w:val="004C2FA4"/>
    <w:rsid w:val="004C3AF6"/>
    <w:rsid w:val="004C3D36"/>
    <w:rsid w:val="004C4573"/>
    <w:rsid w:val="004C46AB"/>
    <w:rsid w:val="004C48A1"/>
    <w:rsid w:val="004C510A"/>
    <w:rsid w:val="004C5D03"/>
    <w:rsid w:val="004C65DB"/>
    <w:rsid w:val="004C6667"/>
    <w:rsid w:val="004C6EAF"/>
    <w:rsid w:val="004C7051"/>
    <w:rsid w:val="004C706F"/>
    <w:rsid w:val="004C77C0"/>
    <w:rsid w:val="004C7BB4"/>
    <w:rsid w:val="004C7D9E"/>
    <w:rsid w:val="004D0343"/>
    <w:rsid w:val="004D0455"/>
    <w:rsid w:val="004D0E2B"/>
    <w:rsid w:val="004D1347"/>
    <w:rsid w:val="004D1AB6"/>
    <w:rsid w:val="004D27D8"/>
    <w:rsid w:val="004D29BD"/>
    <w:rsid w:val="004D2C89"/>
    <w:rsid w:val="004D2F22"/>
    <w:rsid w:val="004D3169"/>
    <w:rsid w:val="004D3DBF"/>
    <w:rsid w:val="004D3F18"/>
    <w:rsid w:val="004D4451"/>
    <w:rsid w:val="004D4962"/>
    <w:rsid w:val="004D511E"/>
    <w:rsid w:val="004D579F"/>
    <w:rsid w:val="004D5D79"/>
    <w:rsid w:val="004D68CE"/>
    <w:rsid w:val="004D6C07"/>
    <w:rsid w:val="004D6EB4"/>
    <w:rsid w:val="004D7124"/>
    <w:rsid w:val="004D7B12"/>
    <w:rsid w:val="004D7D24"/>
    <w:rsid w:val="004E021A"/>
    <w:rsid w:val="004E0511"/>
    <w:rsid w:val="004E0C1A"/>
    <w:rsid w:val="004E0E1A"/>
    <w:rsid w:val="004E0EF0"/>
    <w:rsid w:val="004E13D9"/>
    <w:rsid w:val="004E1C41"/>
    <w:rsid w:val="004E1DD0"/>
    <w:rsid w:val="004E1E45"/>
    <w:rsid w:val="004E1F60"/>
    <w:rsid w:val="004E2143"/>
    <w:rsid w:val="004E24FC"/>
    <w:rsid w:val="004E2AEE"/>
    <w:rsid w:val="004E2C2F"/>
    <w:rsid w:val="004E3111"/>
    <w:rsid w:val="004E32BA"/>
    <w:rsid w:val="004E32ED"/>
    <w:rsid w:val="004E353A"/>
    <w:rsid w:val="004E460C"/>
    <w:rsid w:val="004E470C"/>
    <w:rsid w:val="004E5395"/>
    <w:rsid w:val="004E575F"/>
    <w:rsid w:val="004E57D8"/>
    <w:rsid w:val="004E5EDD"/>
    <w:rsid w:val="004E79B2"/>
    <w:rsid w:val="004E7AB3"/>
    <w:rsid w:val="004E7C0F"/>
    <w:rsid w:val="004E7D7B"/>
    <w:rsid w:val="004F0C98"/>
    <w:rsid w:val="004F1551"/>
    <w:rsid w:val="004F2766"/>
    <w:rsid w:val="004F3021"/>
    <w:rsid w:val="004F4696"/>
    <w:rsid w:val="004F480D"/>
    <w:rsid w:val="004F4C46"/>
    <w:rsid w:val="004F5348"/>
    <w:rsid w:val="004F54BF"/>
    <w:rsid w:val="004F5520"/>
    <w:rsid w:val="004F59E0"/>
    <w:rsid w:val="004F5DDA"/>
    <w:rsid w:val="004F61D4"/>
    <w:rsid w:val="004F6386"/>
    <w:rsid w:val="004F6906"/>
    <w:rsid w:val="004F6B25"/>
    <w:rsid w:val="004F6CDB"/>
    <w:rsid w:val="004F6E73"/>
    <w:rsid w:val="004F7134"/>
    <w:rsid w:val="004F7663"/>
    <w:rsid w:val="004F7998"/>
    <w:rsid w:val="0050088E"/>
    <w:rsid w:val="0050102A"/>
    <w:rsid w:val="00501926"/>
    <w:rsid w:val="0050249C"/>
    <w:rsid w:val="00503142"/>
    <w:rsid w:val="00503EA8"/>
    <w:rsid w:val="005041B2"/>
    <w:rsid w:val="00504952"/>
    <w:rsid w:val="00504A5F"/>
    <w:rsid w:val="005050BD"/>
    <w:rsid w:val="00505587"/>
    <w:rsid w:val="005060C8"/>
    <w:rsid w:val="00506850"/>
    <w:rsid w:val="00506853"/>
    <w:rsid w:val="00506D73"/>
    <w:rsid w:val="005075D2"/>
    <w:rsid w:val="00507A9E"/>
    <w:rsid w:val="00507B05"/>
    <w:rsid w:val="005110E8"/>
    <w:rsid w:val="00511682"/>
    <w:rsid w:val="005116AF"/>
    <w:rsid w:val="00511B42"/>
    <w:rsid w:val="00511CE4"/>
    <w:rsid w:val="00511DF1"/>
    <w:rsid w:val="00512706"/>
    <w:rsid w:val="005129D3"/>
    <w:rsid w:val="0051333D"/>
    <w:rsid w:val="00514654"/>
    <w:rsid w:val="00514A84"/>
    <w:rsid w:val="00514BE4"/>
    <w:rsid w:val="00514EC9"/>
    <w:rsid w:val="00515BC5"/>
    <w:rsid w:val="00515CEE"/>
    <w:rsid w:val="005164AB"/>
    <w:rsid w:val="00516CBB"/>
    <w:rsid w:val="00516D44"/>
    <w:rsid w:val="00516D72"/>
    <w:rsid w:val="00516ECD"/>
    <w:rsid w:val="0051729A"/>
    <w:rsid w:val="00517363"/>
    <w:rsid w:val="005173B1"/>
    <w:rsid w:val="005175A2"/>
    <w:rsid w:val="005177EA"/>
    <w:rsid w:val="005200EE"/>
    <w:rsid w:val="005200FF"/>
    <w:rsid w:val="00521108"/>
    <w:rsid w:val="0052139B"/>
    <w:rsid w:val="005213F9"/>
    <w:rsid w:val="00521DDF"/>
    <w:rsid w:val="005234ED"/>
    <w:rsid w:val="005239B4"/>
    <w:rsid w:val="005239B5"/>
    <w:rsid w:val="0052440D"/>
    <w:rsid w:val="0052442E"/>
    <w:rsid w:val="00524809"/>
    <w:rsid w:val="005248B0"/>
    <w:rsid w:val="005248F3"/>
    <w:rsid w:val="005249E5"/>
    <w:rsid w:val="00525807"/>
    <w:rsid w:val="00525E5E"/>
    <w:rsid w:val="00525E66"/>
    <w:rsid w:val="005263E0"/>
    <w:rsid w:val="00526914"/>
    <w:rsid w:val="00526CD6"/>
    <w:rsid w:val="00527526"/>
    <w:rsid w:val="00527A9B"/>
    <w:rsid w:val="00527E96"/>
    <w:rsid w:val="00530DB8"/>
    <w:rsid w:val="00530EB2"/>
    <w:rsid w:val="00530F8E"/>
    <w:rsid w:val="0053121F"/>
    <w:rsid w:val="00531680"/>
    <w:rsid w:val="00531715"/>
    <w:rsid w:val="00531A4E"/>
    <w:rsid w:val="00531B77"/>
    <w:rsid w:val="00531F52"/>
    <w:rsid w:val="005320D2"/>
    <w:rsid w:val="00532494"/>
    <w:rsid w:val="00532FCC"/>
    <w:rsid w:val="0053328F"/>
    <w:rsid w:val="00533B4A"/>
    <w:rsid w:val="005343CC"/>
    <w:rsid w:val="00534CFC"/>
    <w:rsid w:val="005352F6"/>
    <w:rsid w:val="00535F49"/>
    <w:rsid w:val="00536305"/>
    <w:rsid w:val="00536D88"/>
    <w:rsid w:val="00536E12"/>
    <w:rsid w:val="00536F35"/>
    <w:rsid w:val="00537454"/>
    <w:rsid w:val="005374CB"/>
    <w:rsid w:val="0054012E"/>
    <w:rsid w:val="00540848"/>
    <w:rsid w:val="00540A59"/>
    <w:rsid w:val="00541692"/>
    <w:rsid w:val="00543450"/>
    <w:rsid w:val="00543A12"/>
    <w:rsid w:val="00543D2F"/>
    <w:rsid w:val="00543E73"/>
    <w:rsid w:val="00544255"/>
    <w:rsid w:val="005444BD"/>
    <w:rsid w:val="00544691"/>
    <w:rsid w:val="00544C0A"/>
    <w:rsid w:val="00545668"/>
    <w:rsid w:val="00545712"/>
    <w:rsid w:val="005457C0"/>
    <w:rsid w:val="00545A96"/>
    <w:rsid w:val="00545DFD"/>
    <w:rsid w:val="005464F5"/>
    <w:rsid w:val="00546959"/>
    <w:rsid w:val="00546B20"/>
    <w:rsid w:val="005471D3"/>
    <w:rsid w:val="00547355"/>
    <w:rsid w:val="00547EEB"/>
    <w:rsid w:val="005507A0"/>
    <w:rsid w:val="00550AAF"/>
    <w:rsid w:val="005514B1"/>
    <w:rsid w:val="00551521"/>
    <w:rsid w:val="00551C58"/>
    <w:rsid w:val="00551EC4"/>
    <w:rsid w:val="005521F5"/>
    <w:rsid w:val="005522FA"/>
    <w:rsid w:val="005523E1"/>
    <w:rsid w:val="0055248B"/>
    <w:rsid w:val="00552808"/>
    <w:rsid w:val="00552AC1"/>
    <w:rsid w:val="00552C93"/>
    <w:rsid w:val="005531FC"/>
    <w:rsid w:val="00553D04"/>
    <w:rsid w:val="00554CCC"/>
    <w:rsid w:val="005553C0"/>
    <w:rsid w:val="005557A8"/>
    <w:rsid w:val="00556A20"/>
    <w:rsid w:val="00556C09"/>
    <w:rsid w:val="00557548"/>
    <w:rsid w:val="00557E6A"/>
    <w:rsid w:val="0056039D"/>
    <w:rsid w:val="00560F6A"/>
    <w:rsid w:val="00560FE5"/>
    <w:rsid w:val="00561082"/>
    <w:rsid w:val="00561580"/>
    <w:rsid w:val="005619DA"/>
    <w:rsid w:val="005622D2"/>
    <w:rsid w:val="00562768"/>
    <w:rsid w:val="00562920"/>
    <w:rsid w:val="00563A7B"/>
    <w:rsid w:val="00563B0D"/>
    <w:rsid w:val="005641EC"/>
    <w:rsid w:val="005645DF"/>
    <w:rsid w:val="005655A3"/>
    <w:rsid w:val="00565890"/>
    <w:rsid w:val="0056674E"/>
    <w:rsid w:val="005668A3"/>
    <w:rsid w:val="005669CF"/>
    <w:rsid w:val="00566F0B"/>
    <w:rsid w:val="00566FBD"/>
    <w:rsid w:val="005675B3"/>
    <w:rsid w:val="0056798F"/>
    <w:rsid w:val="00567D9D"/>
    <w:rsid w:val="00571552"/>
    <w:rsid w:val="0057166E"/>
    <w:rsid w:val="00571737"/>
    <w:rsid w:val="00571DE8"/>
    <w:rsid w:val="005723BF"/>
    <w:rsid w:val="00572ADD"/>
    <w:rsid w:val="00573ADE"/>
    <w:rsid w:val="0057561C"/>
    <w:rsid w:val="0057586D"/>
    <w:rsid w:val="00575F37"/>
    <w:rsid w:val="00576963"/>
    <w:rsid w:val="00576D54"/>
    <w:rsid w:val="005778E0"/>
    <w:rsid w:val="00577906"/>
    <w:rsid w:val="005803EE"/>
    <w:rsid w:val="00580441"/>
    <w:rsid w:val="0058090C"/>
    <w:rsid w:val="00580B1C"/>
    <w:rsid w:val="005811DF"/>
    <w:rsid w:val="00581D67"/>
    <w:rsid w:val="005820B5"/>
    <w:rsid w:val="005827FC"/>
    <w:rsid w:val="00582905"/>
    <w:rsid w:val="0058391B"/>
    <w:rsid w:val="00583E39"/>
    <w:rsid w:val="00583EF4"/>
    <w:rsid w:val="00584188"/>
    <w:rsid w:val="00584278"/>
    <w:rsid w:val="00584677"/>
    <w:rsid w:val="005852F9"/>
    <w:rsid w:val="005855E2"/>
    <w:rsid w:val="00585B51"/>
    <w:rsid w:val="00585D51"/>
    <w:rsid w:val="00585E8A"/>
    <w:rsid w:val="005861B7"/>
    <w:rsid w:val="0058640F"/>
    <w:rsid w:val="0058670B"/>
    <w:rsid w:val="00586713"/>
    <w:rsid w:val="005868B1"/>
    <w:rsid w:val="005870C9"/>
    <w:rsid w:val="0058746B"/>
    <w:rsid w:val="005875B0"/>
    <w:rsid w:val="00587A8D"/>
    <w:rsid w:val="00587BD1"/>
    <w:rsid w:val="00587F34"/>
    <w:rsid w:val="00590A71"/>
    <w:rsid w:val="00590E9F"/>
    <w:rsid w:val="00590FBC"/>
    <w:rsid w:val="00591073"/>
    <w:rsid w:val="00592B1A"/>
    <w:rsid w:val="00592DE6"/>
    <w:rsid w:val="005936DE"/>
    <w:rsid w:val="00593C61"/>
    <w:rsid w:val="00594BD3"/>
    <w:rsid w:val="00595151"/>
    <w:rsid w:val="0059551F"/>
    <w:rsid w:val="00596483"/>
    <w:rsid w:val="005965C9"/>
    <w:rsid w:val="00597152"/>
    <w:rsid w:val="00597A78"/>
    <w:rsid w:val="00597D9D"/>
    <w:rsid w:val="00597E6F"/>
    <w:rsid w:val="00597EDD"/>
    <w:rsid w:val="005A0283"/>
    <w:rsid w:val="005A02ED"/>
    <w:rsid w:val="005A07F3"/>
    <w:rsid w:val="005A1A07"/>
    <w:rsid w:val="005A1C33"/>
    <w:rsid w:val="005A1F89"/>
    <w:rsid w:val="005A203F"/>
    <w:rsid w:val="005A22FB"/>
    <w:rsid w:val="005A2970"/>
    <w:rsid w:val="005A2A9D"/>
    <w:rsid w:val="005A2C87"/>
    <w:rsid w:val="005A315D"/>
    <w:rsid w:val="005A32A1"/>
    <w:rsid w:val="005A3511"/>
    <w:rsid w:val="005A386F"/>
    <w:rsid w:val="005A3C23"/>
    <w:rsid w:val="005A3FF3"/>
    <w:rsid w:val="005A42D6"/>
    <w:rsid w:val="005A4505"/>
    <w:rsid w:val="005A53BC"/>
    <w:rsid w:val="005A685B"/>
    <w:rsid w:val="005A687E"/>
    <w:rsid w:val="005A693A"/>
    <w:rsid w:val="005A717F"/>
    <w:rsid w:val="005A7504"/>
    <w:rsid w:val="005A75C9"/>
    <w:rsid w:val="005A7B57"/>
    <w:rsid w:val="005A7C3C"/>
    <w:rsid w:val="005A7DB4"/>
    <w:rsid w:val="005B0113"/>
    <w:rsid w:val="005B0392"/>
    <w:rsid w:val="005B0534"/>
    <w:rsid w:val="005B0E2C"/>
    <w:rsid w:val="005B16E8"/>
    <w:rsid w:val="005B1A25"/>
    <w:rsid w:val="005B23D3"/>
    <w:rsid w:val="005B24DD"/>
    <w:rsid w:val="005B2CC7"/>
    <w:rsid w:val="005B3009"/>
    <w:rsid w:val="005B32C9"/>
    <w:rsid w:val="005B3370"/>
    <w:rsid w:val="005B33CE"/>
    <w:rsid w:val="005B3557"/>
    <w:rsid w:val="005B3F32"/>
    <w:rsid w:val="005B45D7"/>
    <w:rsid w:val="005B4C48"/>
    <w:rsid w:val="005B4EFD"/>
    <w:rsid w:val="005B553C"/>
    <w:rsid w:val="005B5A68"/>
    <w:rsid w:val="005B5EA3"/>
    <w:rsid w:val="005B605D"/>
    <w:rsid w:val="005B6711"/>
    <w:rsid w:val="005B6BDB"/>
    <w:rsid w:val="005B6C99"/>
    <w:rsid w:val="005B72A6"/>
    <w:rsid w:val="005B77CE"/>
    <w:rsid w:val="005B7839"/>
    <w:rsid w:val="005B789F"/>
    <w:rsid w:val="005C01CC"/>
    <w:rsid w:val="005C0486"/>
    <w:rsid w:val="005C0576"/>
    <w:rsid w:val="005C16E3"/>
    <w:rsid w:val="005C1F8C"/>
    <w:rsid w:val="005C22B2"/>
    <w:rsid w:val="005C2544"/>
    <w:rsid w:val="005C27BC"/>
    <w:rsid w:val="005C28A5"/>
    <w:rsid w:val="005C2F3D"/>
    <w:rsid w:val="005C3456"/>
    <w:rsid w:val="005C3D7E"/>
    <w:rsid w:val="005C3F42"/>
    <w:rsid w:val="005C4D43"/>
    <w:rsid w:val="005C4DC7"/>
    <w:rsid w:val="005C58FF"/>
    <w:rsid w:val="005C5E90"/>
    <w:rsid w:val="005C64AE"/>
    <w:rsid w:val="005C66D1"/>
    <w:rsid w:val="005C6EC7"/>
    <w:rsid w:val="005C703C"/>
    <w:rsid w:val="005C7B4E"/>
    <w:rsid w:val="005C7F0A"/>
    <w:rsid w:val="005D0C20"/>
    <w:rsid w:val="005D0ED4"/>
    <w:rsid w:val="005D2010"/>
    <w:rsid w:val="005D3301"/>
    <w:rsid w:val="005D3434"/>
    <w:rsid w:val="005D3BB1"/>
    <w:rsid w:val="005D4583"/>
    <w:rsid w:val="005D4EE3"/>
    <w:rsid w:val="005D5112"/>
    <w:rsid w:val="005D5333"/>
    <w:rsid w:val="005D61EF"/>
    <w:rsid w:val="005D64DE"/>
    <w:rsid w:val="005D6685"/>
    <w:rsid w:val="005D67DC"/>
    <w:rsid w:val="005D6B9C"/>
    <w:rsid w:val="005D6C77"/>
    <w:rsid w:val="005D6D57"/>
    <w:rsid w:val="005D6DC5"/>
    <w:rsid w:val="005D72E5"/>
    <w:rsid w:val="005D761C"/>
    <w:rsid w:val="005E03BA"/>
    <w:rsid w:val="005E08C1"/>
    <w:rsid w:val="005E12D6"/>
    <w:rsid w:val="005E19C4"/>
    <w:rsid w:val="005E2734"/>
    <w:rsid w:val="005E27CE"/>
    <w:rsid w:val="005E2B9E"/>
    <w:rsid w:val="005E3625"/>
    <w:rsid w:val="005E3F0B"/>
    <w:rsid w:val="005E4320"/>
    <w:rsid w:val="005E44C4"/>
    <w:rsid w:val="005E5406"/>
    <w:rsid w:val="005E579D"/>
    <w:rsid w:val="005E6241"/>
    <w:rsid w:val="005E6623"/>
    <w:rsid w:val="005E6951"/>
    <w:rsid w:val="005E6A32"/>
    <w:rsid w:val="005E6DD5"/>
    <w:rsid w:val="005E6EEA"/>
    <w:rsid w:val="005E72E9"/>
    <w:rsid w:val="005E7E97"/>
    <w:rsid w:val="005F0043"/>
    <w:rsid w:val="005F00AA"/>
    <w:rsid w:val="005F0918"/>
    <w:rsid w:val="005F0BDC"/>
    <w:rsid w:val="005F0E5E"/>
    <w:rsid w:val="005F20CC"/>
    <w:rsid w:val="005F2391"/>
    <w:rsid w:val="005F2963"/>
    <w:rsid w:val="005F2F14"/>
    <w:rsid w:val="005F34D3"/>
    <w:rsid w:val="005F3613"/>
    <w:rsid w:val="005F3F6F"/>
    <w:rsid w:val="005F3FDD"/>
    <w:rsid w:val="005F474C"/>
    <w:rsid w:val="005F47EB"/>
    <w:rsid w:val="005F4B87"/>
    <w:rsid w:val="005F59F4"/>
    <w:rsid w:val="005F600E"/>
    <w:rsid w:val="005F6077"/>
    <w:rsid w:val="005F6B2A"/>
    <w:rsid w:val="005F6C81"/>
    <w:rsid w:val="005F6F3A"/>
    <w:rsid w:val="005F74C5"/>
    <w:rsid w:val="005F7644"/>
    <w:rsid w:val="005F7965"/>
    <w:rsid w:val="005F7C07"/>
    <w:rsid w:val="00600889"/>
    <w:rsid w:val="00600C7D"/>
    <w:rsid w:val="00600D27"/>
    <w:rsid w:val="00601535"/>
    <w:rsid w:val="0060161C"/>
    <w:rsid w:val="00601BFC"/>
    <w:rsid w:val="00601DBD"/>
    <w:rsid w:val="006024A2"/>
    <w:rsid w:val="00602790"/>
    <w:rsid w:val="00602FCA"/>
    <w:rsid w:val="00603499"/>
    <w:rsid w:val="00603531"/>
    <w:rsid w:val="006042BE"/>
    <w:rsid w:val="0060494E"/>
    <w:rsid w:val="00604F0B"/>
    <w:rsid w:val="00606077"/>
    <w:rsid w:val="0060695A"/>
    <w:rsid w:val="00606C7D"/>
    <w:rsid w:val="006071B6"/>
    <w:rsid w:val="006072F2"/>
    <w:rsid w:val="006103F0"/>
    <w:rsid w:val="006105DA"/>
    <w:rsid w:val="00610C42"/>
    <w:rsid w:val="00610E4B"/>
    <w:rsid w:val="0061122A"/>
    <w:rsid w:val="00611921"/>
    <w:rsid w:val="00611C07"/>
    <w:rsid w:val="00611C1B"/>
    <w:rsid w:val="00612C03"/>
    <w:rsid w:val="00612C92"/>
    <w:rsid w:val="00612F27"/>
    <w:rsid w:val="00613265"/>
    <w:rsid w:val="00613313"/>
    <w:rsid w:val="0061379F"/>
    <w:rsid w:val="00613B0B"/>
    <w:rsid w:val="00613CF9"/>
    <w:rsid w:val="006144D5"/>
    <w:rsid w:val="006147D1"/>
    <w:rsid w:val="00614D52"/>
    <w:rsid w:val="00615630"/>
    <w:rsid w:val="00615891"/>
    <w:rsid w:val="006166B4"/>
    <w:rsid w:val="00616E0E"/>
    <w:rsid w:val="006171B2"/>
    <w:rsid w:val="00617720"/>
    <w:rsid w:val="0062030C"/>
    <w:rsid w:val="006207BC"/>
    <w:rsid w:val="006210AA"/>
    <w:rsid w:val="00621836"/>
    <w:rsid w:val="006219B3"/>
    <w:rsid w:val="006219E2"/>
    <w:rsid w:val="006223F5"/>
    <w:rsid w:val="0062250F"/>
    <w:rsid w:val="00622E01"/>
    <w:rsid w:val="00622E2C"/>
    <w:rsid w:val="00622F50"/>
    <w:rsid w:val="0062305D"/>
    <w:rsid w:val="00623F3E"/>
    <w:rsid w:val="006242A3"/>
    <w:rsid w:val="0062488C"/>
    <w:rsid w:val="00624E08"/>
    <w:rsid w:val="00624E0D"/>
    <w:rsid w:val="006259DF"/>
    <w:rsid w:val="00625D8E"/>
    <w:rsid w:val="00625F32"/>
    <w:rsid w:val="00625F46"/>
    <w:rsid w:val="00625FAE"/>
    <w:rsid w:val="006272EB"/>
    <w:rsid w:val="00627300"/>
    <w:rsid w:val="00632098"/>
    <w:rsid w:val="006328F8"/>
    <w:rsid w:val="00632B6E"/>
    <w:rsid w:val="00633A1F"/>
    <w:rsid w:val="00633D24"/>
    <w:rsid w:val="00633FB5"/>
    <w:rsid w:val="00634346"/>
    <w:rsid w:val="0063472E"/>
    <w:rsid w:val="00635D64"/>
    <w:rsid w:val="00636DA0"/>
    <w:rsid w:val="0063755A"/>
    <w:rsid w:val="00637C8C"/>
    <w:rsid w:val="00637F44"/>
    <w:rsid w:val="00637FB9"/>
    <w:rsid w:val="0064028D"/>
    <w:rsid w:val="00640402"/>
    <w:rsid w:val="00641948"/>
    <w:rsid w:val="00641980"/>
    <w:rsid w:val="0064199F"/>
    <w:rsid w:val="006419F6"/>
    <w:rsid w:val="00641B13"/>
    <w:rsid w:val="00641C77"/>
    <w:rsid w:val="00642281"/>
    <w:rsid w:val="006438D0"/>
    <w:rsid w:val="00643C39"/>
    <w:rsid w:val="0064558C"/>
    <w:rsid w:val="00646F22"/>
    <w:rsid w:val="00647245"/>
    <w:rsid w:val="00647747"/>
    <w:rsid w:val="00647797"/>
    <w:rsid w:val="00647840"/>
    <w:rsid w:val="0064798C"/>
    <w:rsid w:val="00650041"/>
    <w:rsid w:val="006504A9"/>
    <w:rsid w:val="00650A37"/>
    <w:rsid w:val="00650D5C"/>
    <w:rsid w:val="00651435"/>
    <w:rsid w:val="0065194F"/>
    <w:rsid w:val="00651D67"/>
    <w:rsid w:val="00651DCA"/>
    <w:rsid w:val="00651EFF"/>
    <w:rsid w:val="00652018"/>
    <w:rsid w:val="006526C3"/>
    <w:rsid w:val="006527AC"/>
    <w:rsid w:val="0065280D"/>
    <w:rsid w:val="00652A0A"/>
    <w:rsid w:val="00652DC7"/>
    <w:rsid w:val="006537F1"/>
    <w:rsid w:val="00653A2D"/>
    <w:rsid w:val="00653AE8"/>
    <w:rsid w:val="0065409C"/>
    <w:rsid w:val="006543EA"/>
    <w:rsid w:val="0065514C"/>
    <w:rsid w:val="00655933"/>
    <w:rsid w:val="00655F59"/>
    <w:rsid w:val="00656284"/>
    <w:rsid w:val="00656354"/>
    <w:rsid w:val="006565E8"/>
    <w:rsid w:val="00657D96"/>
    <w:rsid w:val="00661BDA"/>
    <w:rsid w:val="0066201A"/>
    <w:rsid w:val="006627A8"/>
    <w:rsid w:val="006628DD"/>
    <w:rsid w:val="00662D90"/>
    <w:rsid w:val="00663132"/>
    <w:rsid w:val="006635E7"/>
    <w:rsid w:val="00664B6C"/>
    <w:rsid w:val="00665646"/>
    <w:rsid w:val="00665833"/>
    <w:rsid w:val="00665934"/>
    <w:rsid w:val="00665AB0"/>
    <w:rsid w:val="00666354"/>
    <w:rsid w:val="00666C95"/>
    <w:rsid w:val="00670693"/>
    <w:rsid w:val="00670857"/>
    <w:rsid w:val="00670880"/>
    <w:rsid w:val="006708E3"/>
    <w:rsid w:val="006714C4"/>
    <w:rsid w:val="0067162E"/>
    <w:rsid w:val="00672365"/>
    <w:rsid w:val="006734DE"/>
    <w:rsid w:val="00673DBB"/>
    <w:rsid w:val="00673F6E"/>
    <w:rsid w:val="00674423"/>
    <w:rsid w:val="00674659"/>
    <w:rsid w:val="00674ADC"/>
    <w:rsid w:val="00674BEE"/>
    <w:rsid w:val="00674F8C"/>
    <w:rsid w:val="00675169"/>
    <w:rsid w:val="006754CB"/>
    <w:rsid w:val="006759A9"/>
    <w:rsid w:val="00675D81"/>
    <w:rsid w:val="00676A2C"/>
    <w:rsid w:val="00680F73"/>
    <w:rsid w:val="006820E8"/>
    <w:rsid w:val="0068239A"/>
    <w:rsid w:val="006823B2"/>
    <w:rsid w:val="006824EA"/>
    <w:rsid w:val="006830AB"/>
    <w:rsid w:val="00683ADD"/>
    <w:rsid w:val="00683E74"/>
    <w:rsid w:val="00684A00"/>
    <w:rsid w:val="00684FE6"/>
    <w:rsid w:val="00685074"/>
    <w:rsid w:val="006859F9"/>
    <w:rsid w:val="00686183"/>
    <w:rsid w:val="006862B0"/>
    <w:rsid w:val="00686473"/>
    <w:rsid w:val="006869C6"/>
    <w:rsid w:val="00686FBF"/>
    <w:rsid w:val="00687122"/>
    <w:rsid w:val="00687B27"/>
    <w:rsid w:val="00687C1B"/>
    <w:rsid w:val="006905C8"/>
    <w:rsid w:val="006908D2"/>
    <w:rsid w:val="00690F0C"/>
    <w:rsid w:val="006910F6"/>
    <w:rsid w:val="00691749"/>
    <w:rsid w:val="0069187A"/>
    <w:rsid w:val="0069281D"/>
    <w:rsid w:val="00693256"/>
    <w:rsid w:val="006933D7"/>
    <w:rsid w:val="00693750"/>
    <w:rsid w:val="00693B63"/>
    <w:rsid w:val="00693C50"/>
    <w:rsid w:val="00694089"/>
    <w:rsid w:val="00694D31"/>
    <w:rsid w:val="00694DAB"/>
    <w:rsid w:val="0069578F"/>
    <w:rsid w:val="00695E03"/>
    <w:rsid w:val="00696907"/>
    <w:rsid w:val="00696E8C"/>
    <w:rsid w:val="00696FDC"/>
    <w:rsid w:val="0069711F"/>
    <w:rsid w:val="00697701"/>
    <w:rsid w:val="00697A59"/>
    <w:rsid w:val="00697BC2"/>
    <w:rsid w:val="00697C78"/>
    <w:rsid w:val="006A168E"/>
    <w:rsid w:val="006A20E4"/>
    <w:rsid w:val="006A2CC3"/>
    <w:rsid w:val="006A2FE8"/>
    <w:rsid w:val="006A3934"/>
    <w:rsid w:val="006A3A6C"/>
    <w:rsid w:val="006A3B6B"/>
    <w:rsid w:val="006A3DC9"/>
    <w:rsid w:val="006A3F1C"/>
    <w:rsid w:val="006A4259"/>
    <w:rsid w:val="006A4A45"/>
    <w:rsid w:val="006A4B45"/>
    <w:rsid w:val="006A4B77"/>
    <w:rsid w:val="006A4BF2"/>
    <w:rsid w:val="006A517F"/>
    <w:rsid w:val="006A5743"/>
    <w:rsid w:val="006A5889"/>
    <w:rsid w:val="006A5D5C"/>
    <w:rsid w:val="006A64A9"/>
    <w:rsid w:val="006A6621"/>
    <w:rsid w:val="006A6F26"/>
    <w:rsid w:val="006A73BC"/>
    <w:rsid w:val="006A79E9"/>
    <w:rsid w:val="006B01AA"/>
    <w:rsid w:val="006B0238"/>
    <w:rsid w:val="006B0AB2"/>
    <w:rsid w:val="006B15B6"/>
    <w:rsid w:val="006B1631"/>
    <w:rsid w:val="006B38A0"/>
    <w:rsid w:val="006B46CA"/>
    <w:rsid w:val="006B4884"/>
    <w:rsid w:val="006B4B0C"/>
    <w:rsid w:val="006B5458"/>
    <w:rsid w:val="006B5AEF"/>
    <w:rsid w:val="006B5EAC"/>
    <w:rsid w:val="006B67DB"/>
    <w:rsid w:val="006B68A1"/>
    <w:rsid w:val="006B69D7"/>
    <w:rsid w:val="006B6F4C"/>
    <w:rsid w:val="006B7439"/>
    <w:rsid w:val="006B7923"/>
    <w:rsid w:val="006B7F7A"/>
    <w:rsid w:val="006C083C"/>
    <w:rsid w:val="006C084A"/>
    <w:rsid w:val="006C0856"/>
    <w:rsid w:val="006C11B8"/>
    <w:rsid w:val="006C1285"/>
    <w:rsid w:val="006C135E"/>
    <w:rsid w:val="006C18F7"/>
    <w:rsid w:val="006C2092"/>
    <w:rsid w:val="006C317F"/>
    <w:rsid w:val="006C33CC"/>
    <w:rsid w:val="006C3566"/>
    <w:rsid w:val="006C3AD7"/>
    <w:rsid w:val="006C3DF4"/>
    <w:rsid w:val="006C44F6"/>
    <w:rsid w:val="006C4A20"/>
    <w:rsid w:val="006C4C4C"/>
    <w:rsid w:val="006C5CDA"/>
    <w:rsid w:val="006C60DE"/>
    <w:rsid w:val="006C7607"/>
    <w:rsid w:val="006C7765"/>
    <w:rsid w:val="006C798F"/>
    <w:rsid w:val="006C7F9F"/>
    <w:rsid w:val="006D00EC"/>
    <w:rsid w:val="006D0605"/>
    <w:rsid w:val="006D0BD2"/>
    <w:rsid w:val="006D0CFD"/>
    <w:rsid w:val="006D127D"/>
    <w:rsid w:val="006D14B1"/>
    <w:rsid w:val="006D1E81"/>
    <w:rsid w:val="006D2352"/>
    <w:rsid w:val="006D2447"/>
    <w:rsid w:val="006D2D05"/>
    <w:rsid w:val="006D2F03"/>
    <w:rsid w:val="006D3034"/>
    <w:rsid w:val="006D330C"/>
    <w:rsid w:val="006D33E2"/>
    <w:rsid w:val="006D34DE"/>
    <w:rsid w:val="006D3A1C"/>
    <w:rsid w:val="006D44FA"/>
    <w:rsid w:val="006D49FE"/>
    <w:rsid w:val="006D4D3E"/>
    <w:rsid w:val="006D50BB"/>
    <w:rsid w:val="006D5481"/>
    <w:rsid w:val="006D57DE"/>
    <w:rsid w:val="006D5D6F"/>
    <w:rsid w:val="006D5D75"/>
    <w:rsid w:val="006D6452"/>
    <w:rsid w:val="006D680E"/>
    <w:rsid w:val="006D6B87"/>
    <w:rsid w:val="006D6C55"/>
    <w:rsid w:val="006D6D85"/>
    <w:rsid w:val="006D70A0"/>
    <w:rsid w:val="006D73F6"/>
    <w:rsid w:val="006E051A"/>
    <w:rsid w:val="006E1148"/>
    <w:rsid w:val="006E1427"/>
    <w:rsid w:val="006E175E"/>
    <w:rsid w:val="006E182B"/>
    <w:rsid w:val="006E195A"/>
    <w:rsid w:val="006E1BF2"/>
    <w:rsid w:val="006E28AE"/>
    <w:rsid w:val="006E2D14"/>
    <w:rsid w:val="006E412A"/>
    <w:rsid w:val="006E4558"/>
    <w:rsid w:val="006E4939"/>
    <w:rsid w:val="006E4A79"/>
    <w:rsid w:val="006E525E"/>
    <w:rsid w:val="006E5C6D"/>
    <w:rsid w:val="006E6425"/>
    <w:rsid w:val="006E657C"/>
    <w:rsid w:val="006E7B0B"/>
    <w:rsid w:val="006E7BA4"/>
    <w:rsid w:val="006F0057"/>
    <w:rsid w:val="006F05D8"/>
    <w:rsid w:val="006F0E1A"/>
    <w:rsid w:val="006F0F33"/>
    <w:rsid w:val="006F1282"/>
    <w:rsid w:val="006F128B"/>
    <w:rsid w:val="006F18C5"/>
    <w:rsid w:val="006F1A1B"/>
    <w:rsid w:val="006F1F22"/>
    <w:rsid w:val="006F23D0"/>
    <w:rsid w:val="006F25DF"/>
    <w:rsid w:val="006F2AF9"/>
    <w:rsid w:val="006F2EE7"/>
    <w:rsid w:val="006F3AB3"/>
    <w:rsid w:val="006F3E76"/>
    <w:rsid w:val="006F4221"/>
    <w:rsid w:val="006F44C5"/>
    <w:rsid w:val="006F4E75"/>
    <w:rsid w:val="006F53DC"/>
    <w:rsid w:val="006F57FD"/>
    <w:rsid w:val="006F5FB7"/>
    <w:rsid w:val="006F6D67"/>
    <w:rsid w:val="006F7AF1"/>
    <w:rsid w:val="006F7B5F"/>
    <w:rsid w:val="006F7E66"/>
    <w:rsid w:val="00700000"/>
    <w:rsid w:val="00700348"/>
    <w:rsid w:val="007003AA"/>
    <w:rsid w:val="0070075E"/>
    <w:rsid w:val="00700A7B"/>
    <w:rsid w:val="00700DA1"/>
    <w:rsid w:val="007014FE"/>
    <w:rsid w:val="00701A15"/>
    <w:rsid w:val="007022BE"/>
    <w:rsid w:val="00702428"/>
    <w:rsid w:val="007026D5"/>
    <w:rsid w:val="00703100"/>
    <w:rsid w:val="0070312D"/>
    <w:rsid w:val="00703773"/>
    <w:rsid w:val="00704678"/>
    <w:rsid w:val="007047E5"/>
    <w:rsid w:val="00704DDD"/>
    <w:rsid w:val="007050EB"/>
    <w:rsid w:val="00705542"/>
    <w:rsid w:val="00705F6A"/>
    <w:rsid w:val="00705F8B"/>
    <w:rsid w:val="007062CC"/>
    <w:rsid w:val="007062D9"/>
    <w:rsid w:val="00706E32"/>
    <w:rsid w:val="00707259"/>
    <w:rsid w:val="00707391"/>
    <w:rsid w:val="00707741"/>
    <w:rsid w:val="00707B3E"/>
    <w:rsid w:val="00707F3C"/>
    <w:rsid w:val="007102A8"/>
    <w:rsid w:val="00710A31"/>
    <w:rsid w:val="00710ABA"/>
    <w:rsid w:val="00710E29"/>
    <w:rsid w:val="00711525"/>
    <w:rsid w:val="00711686"/>
    <w:rsid w:val="00711DE0"/>
    <w:rsid w:val="00712C63"/>
    <w:rsid w:val="00713B8D"/>
    <w:rsid w:val="00714028"/>
    <w:rsid w:val="00714253"/>
    <w:rsid w:val="00714842"/>
    <w:rsid w:val="00714DFB"/>
    <w:rsid w:val="00714F57"/>
    <w:rsid w:val="007152EB"/>
    <w:rsid w:val="0071549C"/>
    <w:rsid w:val="0071693C"/>
    <w:rsid w:val="007169A7"/>
    <w:rsid w:val="00717E6B"/>
    <w:rsid w:val="00717F47"/>
    <w:rsid w:val="00720279"/>
    <w:rsid w:val="007203DB"/>
    <w:rsid w:val="00720CC3"/>
    <w:rsid w:val="00720FEA"/>
    <w:rsid w:val="00720FF3"/>
    <w:rsid w:val="007212AF"/>
    <w:rsid w:val="007218EA"/>
    <w:rsid w:val="00722410"/>
    <w:rsid w:val="00722669"/>
    <w:rsid w:val="00723172"/>
    <w:rsid w:val="00723229"/>
    <w:rsid w:val="007232F5"/>
    <w:rsid w:val="00723E9F"/>
    <w:rsid w:val="00723F61"/>
    <w:rsid w:val="0072438D"/>
    <w:rsid w:val="007247FE"/>
    <w:rsid w:val="007248F6"/>
    <w:rsid w:val="00724AA9"/>
    <w:rsid w:val="00724E4F"/>
    <w:rsid w:val="00727412"/>
    <w:rsid w:val="0072781B"/>
    <w:rsid w:val="007278CF"/>
    <w:rsid w:val="00727FB7"/>
    <w:rsid w:val="0073002C"/>
    <w:rsid w:val="00730550"/>
    <w:rsid w:val="00730D23"/>
    <w:rsid w:val="007310A7"/>
    <w:rsid w:val="00731491"/>
    <w:rsid w:val="007319CC"/>
    <w:rsid w:val="00731A9A"/>
    <w:rsid w:val="0073205B"/>
    <w:rsid w:val="00732582"/>
    <w:rsid w:val="00732668"/>
    <w:rsid w:val="007327DA"/>
    <w:rsid w:val="00732BC2"/>
    <w:rsid w:val="00733A26"/>
    <w:rsid w:val="00733ADB"/>
    <w:rsid w:val="00733E4E"/>
    <w:rsid w:val="00734FB3"/>
    <w:rsid w:val="00735643"/>
    <w:rsid w:val="007358FF"/>
    <w:rsid w:val="00735D83"/>
    <w:rsid w:val="00736CE7"/>
    <w:rsid w:val="00736E24"/>
    <w:rsid w:val="00740CB0"/>
    <w:rsid w:val="00741514"/>
    <w:rsid w:val="00741956"/>
    <w:rsid w:val="00741A2C"/>
    <w:rsid w:val="007421EB"/>
    <w:rsid w:val="0074267B"/>
    <w:rsid w:val="00743158"/>
    <w:rsid w:val="007431B5"/>
    <w:rsid w:val="00743415"/>
    <w:rsid w:val="007434A6"/>
    <w:rsid w:val="0074375A"/>
    <w:rsid w:val="0074382F"/>
    <w:rsid w:val="00743A8A"/>
    <w:rsid w:val="00743DDB"/>
    <w:rsid w:val="00743E2B"/>
    <w:rsid w:val="00744F71"/>
    <w:rsid w:val="0074507D"/>
    <w:rsid w:val="00746271"/>
    <w:rsid w:val="00746609"/>
    <w:rsid w:val="00746808"/>
    <w:rsid w:val="00746DC2"/>
    <w:rsid w:val="00747641"/>
    <w:rsid w:val="007500D7"/>
    <w:rsid w:val="00750419"/>
    <w:rsid w:val="00750921"/>
    <w:rsid w:val="00750F19"/>
    <w:rsid w:val="0075141E"/>
    <w:rsid w:val="007515AC"/>
    <w:rsid w:val="007516D5"/>
    <w:rsid w:val="00751E53"/>
    <w:rsid w:val="007521C2"/>
    <w:rsid w:val="0075226E"/>
    <w:rsid w:val="007528B7"/>
    <w:rsid w:val="00753545"/>
    <w:rsid w:val="00754746"/>
    <w:rsid w:val="00755440"/>
    <w:rsid w:val="00755649"/>
    <w:rsid w:val="00755737"/>
    <w:rsid w:val="00755E40"/>
    <w:rsid w:val="007560C4"/>
    <w:rsid w:val="007564C9"/>
    <w:rsid w:val="00756C1B"/>
    <w:rsid w:val="0075703B"/>
    <w:rsid w:val="00757C71"/>
    <w:rsid w:val="00760BD8"/>
    <w:rsid w:val="00760CBA"/>
    <w:rsid w:val="00761F91"/>
    <w:rsid w:val="00762DCB"/>
    <w:rsid w:val="0076338F"/>
    <w:rsid w:val="00763BE8"/>
    <w:rsid w:val="00764981"/>
    <w:rsid w:val="00765045"/>
    <w:rsid w:val="007655E3"/>
    <w:rsid w:val="0076661F"/>
    <w:rsid w:val="00766ACA"/>
    <w:rsid w:val="00766EF8"/>
    <w:rsid w:val="007671C2"/>
    <w:rsid w:val="007672EF"/>
    <w:rsid w:val="0077033B"/>
    <w:rsid w:val="00770366"/>
    <w:rsid w:val="007704CA"/>
    <w:rsid w:val="007705CA"/>
    <w:rsid w:val="00770B5D"/>
    <w:rsid w:val="00770CF0"/>
    <w:rsid w:val="0077110A"/>
    <w:rsid w:val="007711AC"/>
    <w:rsid w:val="00771267"/>
    <w:rsid w:val="0077139C"/>
    <w:rsid w:val="00771893"/>
    <w:rsid w:val="007719EC"/>
    <w:rsid w:val="00771FD7"/>
    <w:rsid w:val="00772390"/>
    <w:rsid w:val="007726C7"/>
    <w:rsid w:val="00773309"/>
    <w:rsid w:val="00773419"/>
    <w:rsid w:val="007734AA"/>
    <w:rsid w:val="00773659"/>
    <w:rsid w:val="00774614"/>
    <w:rsid w:val="00775034"/>
    <w:rsid w:val="00775201"/>
    <w:rsid w:val="007767A7"/>
    <w:rsid w:val="00776926"/>
    <w:rsid w:val="00776E23"/>
    <w:rsid w:val="007775DF"/>
    <w:rsid w:val="00780C5A"/>
    <w:rsid w:val="00781455"/>
    <w:rsid w:val="00781602"/>
    <w:rsid w:val="00781945"/>
    <w:rsid w:val="00781C98"/>
    <w:rsid w:val="00782148"/>
    <w:rsid w:val="007838D2"/>
    <w:rsid w:val="007853BD"/>
    <w:rsid w:val="00785FE8"/>
    <w:rsid w:val="0078621A"/>
    <w:rsid w:val="007862B3"/>
    <w:rsid w:val="007865F2"/>
    <w:rsid w:val="00786B75"/>
    <w:rsid w:val="00786CA4"/>
    <w:rsid w:val="00786FFF"/>
    <w:rsid w:val="00787465"/>
    <w:rsid w:val="00787F98"/>
    <w:rsid w:val="007902BE"/>
    <w:rsid w:val="007906DB"/>
    <w:rsid w:val="00791916"/>
    <w:rsid w:val="00792430"/>
    <w:rsid w:val="00792DCF"/>
    <w:rsid w:val="0079328E"/>
    <w:rsid w:val="00793A15"/>
    <w:rsid w:val="00793FF8"/>
    <w:rsid w:val="00794806"/>
    <w:rsid w:val="007949DE"/>
    <w:rsid w:val="00794F1F"/>
    <w:rsid w:val="0079511F"/>
    <w:rsid w:val="007959BF"/>
    <w:rsid w:val="007971F8"/>
    <w:rsid w:val="0079798D"/>
    <w:rsid w:val="00797A3E"/>
    <w:rsid w:val="007A0A99"/>
    <w:rsid w:val="007A0FB4"/>
    <w:rsid w:val="007A1246"/>
    <w:rsid w:val="007A1B0A"/>
    <w:rsid w:val="007A1BF8"/>
    <w:rsid w:val="007A2293"/>
    <w:rsid w:val="007A2C1E"/>
    <w:rsid w:val="007A37D4"/>
    <w:rsid w:val="007A4287"/>
    <w:rsid w:val="007A462C"/>
    <w:rsid w:val="007A4879"/>
    <w:rsid w:val="007A4CDF"/>
    <w:rsid w:val="007A509F"/>
    <w:rsid w:val="007A5EE1"/>
    <w:rsid w:val="007A5F5D"/>
    <w:rsid w:val="007A5FFD"/>
    <w:rsid w:val="007A68CC"/>
    <w:rsid w:val="007A7086"/>
    <w:rsid w:val="007B00F7"/>
    <w:rsid w:val="007B094D"/>
    <w:rsid w:val="007B0CF7"/>
    <w:rsid w:val="007B0F69"/>
    <w:rsid w:val="007B1A97"/>
    <w:rsid w:val="007B1C4E"/>
    <w:rsid w:val="007B1F61"/>
    <w:rsid w:val="007B29C3"/>
    <w:rsid w:val="007B337B"/>
    <w:rsid w:val="007B34A9"/>
    <w:rsid w:val="007B3C53"/>
    <w:rsid w:val="007B3E0A"/>
    <w:rsid w:val="007B46D8"/>
    <w:rsid w:val="007B48D9"/>
    <w:rsid w:val="007B4AC6"/>
    <w:rsid w:val="007B5096"/>
    <w:rsid w:val="007B586A"/>
    <w:rsid w:val="007B5FF2"/>
    <w:rsid w:val="007B725D"/>
    <w:rsid w:val="007C0DDB"/>
    <w:rsid w:val="007C0FA2"/>
    <w:rsid w:val="007C1332"/>
    <w:rsid w:val="007C142A"/>
    <w:rsid w:val="007C282A"/>
    <w:rsid w:val="007C2DBC"/>
    <w:rsid w:val="007C36F9"/>
    <w:rsid w:val="007C446E"/>
    <w:rsid w:val="007C4B67"/>
    <w:rsid w:val="007C4F8A"/>
    <w:rsid w:val="007C512A"/>
    <w:rsid w:val="007C55A9"/>
    <w:rsid w:val="007C563E"/>
    <w:rsid w:val="007C591D"/>
    <w:rsid w:val="007C6B2D"/>
    <w:rsid w:val="007C6C83"/>
    <w:rsid w:val="007C7465"/>
    <w:rsid w:val="007C7767"/>
    <w:rsid w:val="007D026A"/>
    <w:rsid w:val="007D046D"/>
    <w:rsid w:val="007D1809"/>
    <w:rsid w:val="007D203E"/>
    <w:rsid w:val="007D229F"/>
    <w:rsid w:val="007D2762"/>
    <w:rsid w:val="007D3CF5"/>
    <w:rsid w:val="007D3F6E"/>
    <w:rsid w:val="007D439F"/>
    <w:rsid w:val="007D444F"/>
    <w:rsid w:val="007D4A78"/>
    <w:rsid w:val="007D4A9C"/>
    <w:rsid w:val="007D4B0F"/>
    <w:rsid w:val="007D4C1F"/>
    <w:rsid w:val="007D4C65"/>
    <w:rsid w:val="007D5116"/>
    <w:rsid w:val="007D536F"/>
    <w:rsid w:val="007D5DF5"/>
    <w:rsid w:val="007D642A"/>
    <w:rsid w:val="007D6739"/>
    <w:rsid w:val="007D6E9C"/>
    <w:rsid w:val="007D705D"/>
    <w:rsid w:val="007D784E"/>
    <w:rsid w:val="007D7FFD"/>
    <w:rsid w:val="007E00DA"/>
    <w:rsid w:val="007E0862"/>
    <w:rsid w:val="007E0C5D"/>
    <w:rsid w:val="007E0FB3"/>
    <w:rsid w:val="007E1297"/>
    <w:rsid w:val="007E1589"/>
    <w:rsid w:val="007E2595"/>
    <w:rsid w:val="007E25A4"/>
    <w:rsid w:val="007E2EBD"/>
    <w:rsid w:val="007E3232"/>
    <w:rsid w:val="007E343B"/>
    <w:rsid w:val="007E3717"/>
    <w:rsid w:val="007E392B"/>
    <w:rsid w:val="007E3A83"/>
    <w:rsid w:val="007E3E22"/>
    <w:rsid w:val="007E4AAA"/>
    <w:rsid w:val="007E4C92"/>
    <w:rsid w:val="007E4CC6"/>
    <w:rsid w:val="007E4E9A"/>
    <w:rsid w:val="007E52F3"/>
    <w:rsid w:val="007E5D0A"/>
    <w:rsid w:val="007E5F0A"/>
    <w:rsid w:val="007E6532"/>
    <w:rsid w:val="007E6D6A"/>
    <w:rsid w:val="007E724E"/>
    <w:rsid w:val="007E74B2"/>
    <w:rsid w:val="007E7972"/>
    <w:rsid w:val="007E7C0A"/>
    <w:rsid w:val="007F0A0C"/>
    <w:rsid w:val="007F1341"/>
    <w:rsid w:val="007F1416"/>
    <w:rsid w:val="007F16C9"/>
    <w:rsid w:val="007F1832"/>
    <w:rsid w:val="007F1E23"/>
    <w:rsid w:val="007F24FF"/>
    <w:rsid w:val="007F2701"/>
    <w:rsid w:val="007F2878"/>
    <w:rsid w:val="007F2A8E"/>
    <w:rsid w:val="007F30CA"/>
    <w:rsid w:val="007F327F"/>
    <w:rsid w:val="007F3DE9"/>
    <w:rsid w:val="007F51E4"/>
    <w:rsid w:val="007F5A92"/>
    <w:rsid w:val="007F5F98"/>
    <w:rsid w:val="007F60C7"/>
    <w:rsid w:val="007F6186"/>
    <w:rsid w:val="007F62FA"/>
    <w:rsid w:val="007F67C5"/>
    <w:rsid w:val="007F6C03"/>
    <w:rsid w:val="007F6E85"/>
    <w:rsid w:val="007F74DC"/>
    <w:rsid w:val="007F7D62"/>
    <w:rsid w:val="007F7FA5"/>
    <w:rsid w:val="007F7FB3"/>
    <w:rsid w:val="008008D6"/>
    <w:rsid w:val="00800BB5"/>
    <w:rsid w:val="008010AB"/>
    <w:rsid w:val="0080201A"/>
    <w:rsid w:val="00802834"/>
    <w:rsid w:val="00802A38"/>
    <w:rsid w:val="00803459"/>
    <w:rsid w:val="00803FDB"/>
    <w:rsid w:val="008043EA"/>
    <w:rsid w:val="008047A0"/>
    <w:rsid w:val="008049BF"/>
    <w:rsid w:val="00804A38"/>
    <w:rsid w:val="00804BC4"/>
    <w:rsid w:val="0080534C"/>
    <w:rsid w:val="00805A2E"/>
    <w:rsid w:val="00805A74"/>
    <w:rsid w:val="00805E9A"/>
    <w:rsid w:val="008062BF"/>
    <w:rsid w:val="00806455"/>
    <w:rsid w:val="008067E8"/>
    <w:rsid w:val="008069D4"/>
    <w:rsid w:val="00806BD5"/>
    <w:rsid w:val="00807614"/>
    <w:rsid w:val="008110D9"/>
    <w:rsid w:val="00811A42"/>
    <w:rsid w:val="00812054"/>
    <w:rsid w:val="008124AC"/>
    <w:rsid w:val="008126B0"/>
    <w:rsid w:val="00812D16"/>
    <w:rsid w:val="00812DB8"/>
    <w:rsid w:val="0081339A"/>
    <w:rsid w:val="00813735"/>
    <w:rsid w:val="00813DA9"/>
    <w:rsid w:val="00813DD5"/>
    <w:rsid w:val="0081410F"/>
    <w:rsid w:val="00814193"/>
    <w:rsid w:val="00814CDD"/>
    <w:rsid w:val="00815059"/>
    <w:rsid w:val="00815152"/>
    <w:rsid w:val="0081542F"/>
    <w:rsid w:val="00815452"/>
    <w:rsid w:val="00815A7E"/>
    <w:rsid w:val="00815B4F"/>
    <w:rsid w:val="00815D4A"/>
    <w:rsid w:val="00815F50"/>
    <w:rsid w:val="008164C3"/>
    <w:rsid w:val="00816531"/>
    <w:rsid w:val="0081697E"/>
    <w:rsid w:val="00816BDC"/>
    <w:rsid w:val="00816FA7"/>
    <w:rsid w:val="008176BF"/>
    <w:rsid w:val="0081771B"/>
    <w:rsid w:val="0081785F"/>
    <w:rsid w:val="00817D7B"/>
    <w:rsid w:val="00820343"/>
    <w:rsid w:val="008209BC"/>
    <w:rsid w:val="008210DC"/>
    <w:rsid w:val="0082147B"/>
    <w:rsid w:val="008223C4"/>
    <w:rsid w:val="008225ED"/>
    <w:rsid w:val="0082269C"/>
    <w:rsid w:val="00822E66"/>
    <w:rsid w:val="00822E72"/>
    <w:rsid w:val="00823104"/>
    <w:rsid w:val="008231E1"/>
    <w:rsid w:val="00823726"/>
    <w:rsid w:val="00823885"/>
    <w:rsid w:val="00823FDA"/>
    <w:rsid w:val="00824236"/>
    <w:rsid w:val="00824811"/>
    <w:rsid w:val="00824ABC"/>
    <w:rsid w:val="00825B16"/>
    <w:rsid w:val="00825BD2"/>
    <w:rsid w:val="00825D1F"/>
    <w:rsid w:val="008260D4"/>
    <w:rsid w:val="00826162"/>
    <w:rsid w:val="0082619E"/>
    <w:rsid w:val="00826227"/>
    <w:rsid w:val="00826953"/>
    <w:rsid w:val="00826CFB"/>
    <w:rsid w:val="00826E64"/>
    <w:rsid w:val="0082722D"/>
    <w:rsid w:val="00827943"/>
    <w:rsid w:val="00827BCB"/>
    <w:rsid w:val="00827DBF"/>
    <w:rsid w:val="00827F18"/>
    <w:rsid w:val="008300FC"/>
    <w:rsid w:val="00830459"/>
    <w:rsid w:val="00830750"/>
    <w:rsid w:val="00830B2B"/>
    <w:rsid w:val="00830C72"/>
    <w:rsid w:val="0083222A"/>
    <w:rsid w:val="008326E5"/>
    <w:rsid w:val="00832FE4"/>
    <w:rsid w:val="0083386E"/>
    <w:rsid w:val="008338F2"/>
    <w:rsid w:val="00833B1E"/>
    <w:rsid w:val="00833D43"/>
    <w:rsid w:val="0083422C"/>
    <w:rsid w:val="00834D5C"/>
    <w:rsid w:val="00834D82"/>
    <w:rsid w:val="0083558F"/>
    <w:rsid w:val="00835820"/>
    <w:rsid w:val="00835B6D"/>
    <w:rsid w:val="00835BB9"/>
    <w:rsid w:val="00835EB8"/>
    <w:rsid w:val="008367C9"/>
    <w:rsid w:val="00836B9E"/>
    <w:rsid w:val="00836BCE"/>
    <w:rsid w:val="00836C02"/>
    <w:rsid w:val="008374FD"/>
    <w:rsid w:val="00837A08"/>
    <w:rsid w:val="00840349"/>
    <w:rsid w:val="008408B2"/>
    <w:rsid w:val="00840A6A"/>
    <w:rsid w:val="00840AB2"/>
    <w:rsid w:val="00841C5C"/>
    <w:rsid w:val="00842459"/>
    <w:rsid w:val="00842564"/>
    <w:rsid w:val="00843198"/>
    <w:rsid w:val="008431B1"/>
    <w:rsid w:val="00843D94"/>
    <w:rsid w:val="00843E32"/>
    <w:rsid w:val="00843E84"/>
    <w:rsid w:val="00843FE9"/>
    <w:rsid w:val="00844235"/>
    <w:rsid w:val="0084450C"/>
    <w:rsid w:val="008447E9"/>
    <w:rsid w:val="0084491B"/>
    <w:rsid w:val="00845149"/>
    <w:rsid w:val="008455A5"/>
    <w:rsid w:val="00845CCF"/>
    <w:rsid w:val="0084663A"/>
    <w:rsid w:val="00846959"/>
    <w:rsid w:val="00846D34"/>
    <w:rsid w:val="008470F9"/>
    <w:rsid w:val="0084736D"/>
    <w:rsid w:val="00847A9F"/>
    <w:rsid w:val="00847B90"/>
    <w:rsid w:val="00847C53"/>
    <w:rsid w:val="00847DD4"/>
    <w:rsid w:val="0085135D"/>
    <w:rsid w:val="008515D4"/>
    <w:rsid w:val="008518F7"/>
    <w:rsid w:val="0085284A"/>
    <w:rsid w:val="00853454"/>
    <w:rsid w:val="00853657"/>
    <w:rsid w:val="00853E9D"/>
    <w:rsid w:val="00853EC6"/>
    <w:rsid w:val="008540B4"/>
    <w:rsid w:val="00854B08"/>
    <w:rsid w:val="00854C86"/>
    <w:rsid w:val="00855166"/>
    <w:rsid w:val="00855D42"/>
    <w:rsid w:val="00855FBB"/>
    <w:rsid w:val="00856205"/>
    <w:rsid w:val="00856A0D"/>
    <w:rsid w:val="00857134"/>
    <w:rsid w:val="00857497"/>
    <w:rsid w:val="0085777B"/>
    <w:rsid w:val="00857BBE"/>
    <w:rsid w:val="00857BD6"/>
    <w:rsid w:val="00857DEF"/>
    <w:rsid w:val="00857FA3"/>
    <w:rsid w:val="0086004D"/>
    <w:rsid w:val="00860138"/>
    <w:rsid w:val="008602F7"/>
    <w:rsid w:val="00860C4B"/>
    <w:rsid w:val="00860CC7"/>
    <w:rsid w:val="00861760"/>
    <w:rsid w:val="00862324"/>
    <w:rsid w:val="008627D2"/>
    <w:rsid w:val="0086283A"/>
    <w:rsid w:val="00862F2D"/>
    <w:rsid w:val="00862F35"/>
    <w:rsid w:val="008632CC"/>
    <w:rsid w:val="0086345D"/>
    <w:rsid w:val="00863822"/>
    <w:rsid w:val="00863C86"/>
    <w:rsid w:val="00864551"/>
    <w:rsid w:val="008648C5"/>
    <w:rsid w:val="00865C61"/>
    <w:rsid w:val="00865ED7"/>
    <w:rsid w:val="00866277"/>
    <w:rsid w:val="008662D1"/>
    <w:rsid w:val="0086656D"/>
    <w:rsid w:val="00867597"/>
    <w:rsid w:val="008678A5"/>
    <w:rsid w:val="00867F69"/>
    <w:rsid w:val="0087004A"/>
    <w:rsid w:val="00870460"/>
    <w:rsid w:val="0087088A"/>
    <w:rsid w:val="00871231"/>
    <w:rsid w:val="00871266"/>
    <w:rsid w:val="00871491"/>
    <w:rsid w:val="00873183"/>
    <w:rsid w:val="008736CB"/>
    <w:rsid w:val="00873A08"/>
    <w:rsid w:val="00873E81"/>
    <w:rsid w:val="008740CE"/>
    <w:rsid w:val="008741B3"/>
    <w:rsid w:val="00874F60"/>
    <w:rsid w:val="008757D3"/>
    <w:rsid w:val="00875BE0"/>
    <w:rsid w:val="00875C2E"/>
    <w:rsid w:val="00875DD1"/>
    <w:rsid w:val="00876D59"/>
    <w:rsid w:val="00877301"/>
    <w:rsid w:val="00877D53"/>
    <w:rsid w:val="00877F05"/>
    <w:rsid w:val="0088036C"/>
    <w:rsid w:val="0088071D"/>
    <w:rsid w:val="00880924"/>
    <w:rsid w:val="008811ED"/>
    <w:rsid w:val="00881AD8"/>
    <w:rsid w:val="00881BBD"/>
    <w:rsid w:val="00881F74"/>
    <w:rsid w:val="0088212E"/>
    <w:rsid w:val="00882A97"/>
    <w:rsid w:val="00882C4D"/>
    <w:rsid w:val="00884346"/>
    <w:rsid w:val="00885643"/>
    <w:rsid w:val="00885673"/>
    <w:rsid w:val="0088567A"/>
    <w:rsid w:val="00885823"/>
    <w:rsid w:val="00885ED4"/>
    <w:rsid w:val="00886C97"/>
    <w:rsid w:val="008871E3"/>
    <w:rsid w:val="00887306"/>
    <w:rsid w:val="0088755B"/>
    <w:rsid w:val="00887634"/>
    <w:rsid w:val="00887725"/>
    <w:rsid w:val="00887880"/>
    <w:rsid w:val="00887E88"/>
    <w:rsid w:val="0089017C"/>
    <w:rsid w:val="0089032A"/>
    <w:rsid w:val="0089036C"/>
    <w:rsid w:val="00890A86"/>
    <w:rsid w:val="0089119F"/>
    <w:rsid w:val="00891FBB"/>
    <w:rsid w:val="0089208A"/>
    <w:rsid w:val="008922A8"/>
    <w:rsid w:val="0089275F"/>
    <w:rsid w:val="0089298C"/>
    <w:rsid w:val="00893265"/>
    <w:rsid w:val="00893362"/>
    <w:rsid w:val="00893D2D"/>
    <w:rsid w:val="008948C2"/>
    <w:rsid w:val="00894BED"/>
    <w:rsid w:val="00894F92"/>
    <w:rsid w:val="00895BB1"/>
    <w:rsid w:val="00896A0F"/>
    <w:rsid w:val="00897C9E"/>
    <w:rsid w:val="008A12E9"/>
    <w:rsid w:val="008A1C98"/>
    <w:rsid w:val="008A2137"/>
    <w:rsid w:val="008A2260"/>
    <w:rsid w:val="008A25E6"/>
    <w:rsid w:val="008A26E1"/>
    <w:rsid w:val="008A278B"/>
    <w:rsid w:val="008A2F43"/>
    <w:rsid w:val="008A362B"/>
    <w:rsid w:val="008A39EC"/>
    <w:rsid w:val="008A3F14"/>
    <w:rsid w:val="008A4104"/>
    <w:rsid w:val="008A42D9"/>
    <w:rsid w:val="008A42DB"/>
    <w:rsid w:val="008A4DB7"/>
    <w:rsid w:val="008A4DEC"/>
    <w:rsid w:val="008A4E77"/>
    <w:rsid w:val="008A57FD"/>
    <w:rsid w:val="008A6973"/>
    <w:rsid w:val="008A6AC0"/>
    <w:rsid w:val="008A6B99"/>
    <w:rsid w:val="008A79FD"/>
    <w:rsid w:val="008A7D61"/>
    <w:rsid w:val="008B030A"/>
    <w:rsid w:val="008B0B6E"/>
    <w:rsid w:val="008B1827"/>
    <w:rsid w:val="008B1ACE"/>
    <w:rsid w:val="008B1F34"/>
    <w:rsid w:val="008B1F36"/>
    <w:rsid w:val="008B301C"/>
    <w:rsid w:val="008B3314"/>
    <w:rsid w:val="008B3495"/>
    <w:rsid w:val="008B4A73"/>
    <w:rsid w:val="008B4D39"/>
    <w:rsid w:val="008B4F5A"/>
    <w:rsid w:val="008B50E0"/>
    <w:rsid w:val="008B516C"/>
    <w:rsid w:val="008B54F3"/>
    <w:rsid w:val="008B65F9"/>
    <w:rsid w:val="008B6696"/>
    <w:rsid w:val="008B67AC"/>
    <w:rsid w:val="008B6C42"/>
    <w:rsid w:val="008B6CD2"/>
    <w:rsid w:val="008B7139"/>
    <w:rsid w:val="008B7679"/>
    <w:rsid w:val="008B7968"/>
    <w:rsid w:val="008B79A0"/>
    <w:rsid w:val="008B7BC4"/>
    <w:rsid w:val="008C03C7"/>
    <w:rsid w:val="008C074B"/>
    <w:rsid w:val="008C0AE3"/>
    <w:rsid w:val="008C1CE4"/>
    <w:rsid w:val="008C2259"/>
    <w:rsid w:val="008C24E2"/>
    <w:rsid w:val="008C293C"/>
    <w:rsid w:val="008C29AB"/>
    <w:rsid w:val="008C2A69"/>
    <w:rsid w:val="008C2BD0"/>
    <w:rsid w:val="008C2DD0"/>
    <w:rsid w:val="008C2FC2"/>
    <w:rsid w:val="008C357B"/>
    <w:rsid w:val="008C3DBA"/>
    <w:rsid w:val="008C4384"/>
    <w:rsid w:val="008C4643"/>
    <w:rsid w:val="008C4984"/>
    <w:rsid w:val="008C4C02"/>
    <w:rsid w:val="008C5472"/>
    <w:rsid w:val="008C5664"/>
    <w:rsid w:val="008C56F2"/>
    <w:rsid w:val="008C5AAF"/>
    <w:rsid w:val="008C5E6B"/>
    <w:rsid w:val="008C6A08"/>
    <w:rsid w:val="008C6BF9"/>
    <w:rsid w:val="008C7132"/>
    <w:rsid w:val="008D1755"/>
    <w:rsid w:val="008D1959"/>
    <w:rsid w:val="008D1C7C"/>
    <w:rsid w:val="008D1D9C"/>
    <w:rsid w:val="008D22AB"/>
    <w:rsid w:val="008D253D"/>
    <w:rsid w:val="008D2C78"/>
    <w:rsid w:val="008D2EF2"/>
    <w:rsid w:val="008D3662"/>
    <w:rsid w:val="008D44F4"/>
    <w:rsid w:val="008D5055"/>
    <w:rsid w:val="008D57B4"/>
    <w:rsid w:val="008D58D2"/>
    <w:rsid w:val="008D5E09"/>
    <w:rsid w:val="008D5ED8"/>
    <w:rsid w:val="008D650E"/>
    <w:rsid w:val="008D721D"/>
    <w:rsid w:val="008D763B"/>
    <w:rsid w:val="008D79B3"/>
    <w:rsid w:val="008D7B87"/>
    <w:rsid w:val="008E0204"/>
    <w:rsid w:val="008E0729"/>
    <w:rsid w:val="008E1FF5"/>
    <w:rsid w:val="008E244F"/>
    <w:rsid w:val="008E2729"/>
    <w:rsid w:val="008E2791"/>
    <w:rsid w:val="008E2D2B"/>
    <w:rsid w:val="008E2DA1"/>
    <w:rsid w:val="008E375C"/>
    <w:rsid w:val="008E3902"/>
    <w:rsid w:val="008E3B1C"/>
    <w:rsid w:val="008E4262"/>
    <w:rsid w:val="008E52E6"/>
    <w:rsid w:val="008E58ED"/>
    <w:rsid w:val="008E6163"/>
    <w:rsid w:val="008E63DA"/>
    <w:rsid w:val="008E693E"/>
    <w:rsid w:val="008E6E09"/>
    <w:rsid w:val="008E6ED9"/>
    <w:rsid w:val="008F026B"/>
    <w:rsid w:val="008F0B08"/>
    <w:rsid w:val="008F1105"/>
    <w:rsid w:val="008F1338"/>
    <w:rsid w:val="008F15A4"/>
    <w:rsid w:val="008F1814"/>
    <w:rsid w:val="008F1B38"/>
    <w:rsid w:val="008F2804"/>
    <w:rsid w:val="008F2DF2"/>
    <w:rsid w:val="008F379B"/>
    <w:rsid w:val="008F3970"/>
    <w:rsid w:val="008F4E8D"/>
    <w:rsid w:val="008F4E99"/>
    <w:rsid w:val="008F4F79"/>
    <w:rsid w:val="008F63A4"/>
    <w:rsid w:val="008F64AB"/>
    <w:rsid w:val="008F6638"/>
    <w:rsid w:val="008F675A"/>
    <w:rsid w:val="008F7588"/>
    <w:rsid w:val="008F7659"/>
    <w:rsid w:val="008F792A"/>
    <w:rsid w:val="008F7A4B"/>
    <w:rsid w:val="008F7CDC"/>
    <w:rsid w:val="00900173"/>
    <w:rsid w:val="0090094E"/>
    <w:rsid w:val="00901D34"/>
    <w:rsid w:val="00902371"/>
    <w:rsid w:val="009023A5"/>
    <w:rsid w:val="0090298F"/>
    <w:rsid w:val="00902AD2"/>
    <w:rsid w:val="00903090"/>
    <w:rsid w:val="009033B3"/>
    <w:rsid w:val="00903456"/>
    <w:rsid w:val="00904059"/>
    <w:rsid w:val="00904996"/>
    <w:rsid w:val="00905810"/>
    <w:rsid w:val="00905B0B"/>
    <w:rsid w:val="00906490"/>
    <w:rsid w:val="009064D3"/>
    <w:rsid w:val="00907969"/>
    <w:rsid w:val="00907E83"/>
    <w:rsid w:val="00910008"/>
    <w:rsid w:val="0091039F"/>
    <w:rsid w:val="00911021"/>
    <w:rsid w:val="009111C9"/>
    <w:rsid w:val="00911337"/>
    <w:rsid w:val="00911D4B"/>
    <w:rsid w:val="00911E24"/>
    <w:rsid w:val="00911F10"/>
    <w:rsid w:val="00912A60"/>
    <w:rsid w:val="00912ED2"/>
    <w:rsid w:val="0091374C"/>
    <w:rsid w:val="00913FE3"/>
    <w:rsid w:val="0091419E"/>
    <w:rsid w:val="009144B2"/>
    <w:rsid w:val="00914AB2"/>
    <w:rsid w:val="009153FD"/>
    <w:rsid w:val="00915428"/>
    <w:rsid w:val="009168F1"/>
    <w:rsid w:val="009168F5"/>
    <w:rsid w:val="00916903"/>
    <w:rsid w:val="009169F6"/>
    <w:rsid w:val="00917439"/>
    <w:rsid w:val="00917951"/>
    <w:rsid w:val="0092064F"/>
    <w:rsid w:val="00920849"/>
    <w:rsid w:val="00920DC4"/>
    <w:rsid w:val="00921409"/>
    <w:rsid w:val="00921593"/>
    <w:rsid w:val="009236BB"/>
    <w:rsid w:val="0092376B"/>
    <w:rsid w:val="009237AA"/>
    <w:rsid w:val="00923AF0"/>
    <w:rsid w:val="00924C8C"/>
    <w:rsid w:val="0092505E"/>
    <w:rsid w:val="009256A3"/>
    <w:rsid w:val="00925968"/>
    <w:rsid w:val="00925A4D"/>
    <w:rsid w:val="00925B87"/>
    <w:rsid w:val="00925C66"/>
    <w:rsid w:val="0092640C"/>
    <w:rsid w:val="009265BE"/>
    <w:rsid w:val="00926EA8"/>
    <w:rsid w:val="00927838"/>
    <w:rsid w:val="00927D39"/>
    <w:rsid w:val="00927E5C"/>
    <w:rsid w:val="009301C8"/>
    <w:rsid w:val="009304B6"/>
    <w:rsid w:val="00930E71"/>
    <w:rsid w:val="009314C7"/>
    <w:rsid w:val="00931827"/>
    <w:rsid w:val="00931A13"/>
    <w:rsid w:val="00931CC3"/>
    <w:rsid w:val="00931CED"/>
    <w:rsid w:val="009329CF"/>
    <w:rsid w:val="00932C69"/>
    <w:rsid w:val="00933A5F"/>
    <w:rsid w:val="009340AB"/>
    <w:rsid w:val="009341A1"/>
    <w:rsid w:val="00935053"/>
    <w:rsid w:val="009353A4"/>
    <w:rsid w:val="0093557B"/>
    <w:rsid w:val="00935949"/>
    <w:rsid w:val="00935B98"/>
    <w:rsid w:val="00936280"/>
    <w:rsid w:val="00936469"/>
    <w:rsid w:val="009366BA"/>
    <w:rsid w:val="00936779"/>
    <w:rsid w:val="0093735E"/>
    <w:rsid w:val="009379F3"/>
    <w:rsid w:val="00937F2D"/>
    <w:rsid w:val="00937F34"/>
    <w:rsid w:val="0094021A"/>
    <w:rsid w:val="0094045C"/>
    <w:rsid w:val="00940D4D"/>
    <w:rsid w:val="00940E85"/>
    <w:rsid w:val="0094149A"/>
    <w:rsid w:val="0094162D"/>
    <w:rsid w:val="00941E9F"/>
    <w:rsid w:val="00941EC0"/>
    <w:rsid w:val="00942D2E"/>
    <w:rsid w:val="0094339D"/>
    <w:rsid w:val="00943F06"/>
    <w:rsid w:val="009445A9"/>
    <w:rsid w:val="009453D4"/>
    <w:rsid w:val="00945735"/>
    <w:rsid w:val="00946EE7"/>
    <w:rsid w:val="00946EE9"/>
    <w:rsid w:val="00947A44"/>
    <w:rsid w:val="0095014E"/>
    <w:rsid w:val="00950178"/>
    <w:rsid w:val="009505DC"/>
    <w:rsid w:val="009508E3"/>
    <w:rsid w:val="00950F76"/>
    <w:rsid w:val="00950FC6"/>
    <w:rsid w:val="009514EE"/>
    <w:rsid w:val="00951903"/>
    <w:rsid w:val="00951CE3"/>
    <w:rsid w:val="009520EF"/>
    <w:rsid w:val="009527FA"/>
    <w:rsid w:val="00952BBC"/>
    <w:rsid w:val="00954C9E"/>
    <w:rsid w:val="00954DF7"/>
    <w:rsid w:val="009552E4"/>
    <w:rsid w:val="00955AAB"/>
    <w:rsid w:val="00956674"/>
    <w:rsid w:val="00957914"/>
    <w:rsid w:val="00957983"/>
    <w:rsid w:val="00960109"/>
    <w:rsid w:val="00960860"/>
    <w:rsid w:val="00960B1B"/>
    <w:rsid w:val="00961D6D"/>
    <w:rsid w:val="00962332"/>
    <w:rsid w:val="009625EE"/>
    <w:rsid w:val="00962CFC"/>
    <w:rsid w:val="00963225"/>
    <w:rsid w:val="00963BCB"/>
    <w:rsid w:val="00963CB4"/>
    <w:rsid w:val="009640BB"/>
    <w:rsid w:val="00964C85"/>
    <w:rsid w:val="00964EF4"/>
    <w:rsid w:val="00965141"/>
    <w:rsid w:val="00965A5F"/>
    <w:rsid w:val="00965FCA"/>
    <w:rsid w:val="0096679D"/>
    <w:rsid w:val="009669AA"/>
    <w:rsid w:val="00966A00"/>
    <w:rsid w:val="009675B9"/>
    <w:rsid w:val="00967D4A"/>
    <w:rsid w:val="00970153"/>
    <w:rsid w:val="009711C5"/>
    <w:rsid w:val="00971A3D"/>
    <w:rsid w:val="00971D41"/>
    <w:rsid w:val="00971FF2"/>
    <w:rsid w:val="00972588"/>
    <w:rsid w:val="00972ADB"/>
    <w:rsid w:val="009734B2"/>
    <w:rsid w:val="00973A19"/>
    <w:rsid w:val="009744ED"/>
    <w:rsid w:val="0097466A"/>
    <w:rsid w:val="00974E53"/>
    <w:rsid w:val="0097519C"/>
    <w:rsid w:val="009769AA"/>
    <w:rsid w:val="00976D0D"/>
    <w:rsid w:val="00976D3A"/>
    <w:rsid w:val="0097706D"/>
    <w:rsid w:val="009776DA"/>
    <w:rsid w:val="00977E53"/>
    <w:rsid w:val="00977F11"/>
    <w:rsid w:val="0098110E"/>
    <w:rsid w:val="00981506"/>
    <w:rsid w:val="0098160D"/>
    <w:rsid w:val="00981AFB"/>
    <w:rsid w:val="00981BE4"/>
    <w:rsid w:val="00981F0B"/>
    <w:rsid w:val="00982C19"/>
    <w:rsid w:val="00983A69"/>
    <w:rsid w:val="00984368"/>
    <w:rsid w:val="009847B0"/>
    <w:rsid w:val="0098618D"/>
    <w:rsid w:val="009863FE"/>
    <w:rsid w:val="00986718"/>
    <w:rsid w:val="00986913"/>
    <w:rsid w:val="009869F7"/>
    <w:rsid w:val="00986B17"/>
    <w:rsid w:val="00987022"/>
    <w:rsid w:val="00987140"/>
    <w:rsid w:val="00987637"/>
    <w:rsid w:val="009878FF"/>
    <w:rsid w:val="00987A06"/>
    <w:rsid w:val="00987A95"/>
    <w:rsid w:val="00987FE9"/>
    <w:rsid w:val="0099077A"/>
    <w:rsid w:val="009907D8"/>
    <w:rsid w:val="00990938"/>
    <w:rsid w:val="00990F45"/>
    <w:rsid w:val="00991025"/>
    <w:rsid w:val="00991338"/>
    <w:rsid w:val="009915B6"/>
    <w:rsid w:val="00991664"/>
    <w:rsid w:val="0099182D"/>
    <w:rsid w:val="0099216A"/>
    <w:rsid w:val="00992450"/>
    <w:rsid w:val="009927C6"/>
    <w:rsid w:val="00992F3D"/>
    <w:rsid w:val="009933B8"/>
    <w:rsid w:val="00993526"/>
    <w:rsid w:val="00993794"/>
    <w:rsid w:val="0099465C"/>
    <w:rsid w:val="00994884"/>
    <w:rsid w:val="00994AB9"/>
    <w:rsid w:val="0099518C"/>
    <w:rsid w:val="00995530"/>
    <w:rsid w:val="009966B7"/>
    <w:rsid w:val="009969B9"/>
    <w:rsid w:val="00996B6A"/>
    <w:rsid w:val="009970F0"/>
    <w:rsid w:val="009973AC"/>
    <w:rsid w:val="0099785A"/>
    <w:rsid w:val="0099791F"/>
    <w:rsid w:val="00997BCE"/>
    <w:rsid w:val="009A0090"/>
    <w:rsid w:val="009A04B4"/>
    <w:rsid w:val="009A092E"/>
    <w:rsid w:val="009A0E88"/>
    <w:rsid w:val="009A0F27"/>
    <w:rsid w:val="009A1658"/>
    <w:rsid w:val="009A1AC5"/>
    <w:rsid w:val="009A2A34"/>
    <w:rsid w:val="009A3254"/>
    <w:rsid w:val="009A3363"/>
    <w:rsid w:val="009A40F9"/>
    <w:rsid w:val="009A4413"/>
    <w:rsid w:val="009A4930"/>
    <w:rsid w:val="009A4CAC"/>
    <w:rsid w:val="009A4EAE"/>
    <w:rsid w:val="009A5843"/>
    <w:rsid w:val="009A6120"/>
    <w:rsid w:val="009A63FA"/>
    <w:rsid w:val="009A6453"/>
    <w:rsid w:val="009A707A"/>
    <w:rsid w:val="009A71B7"/>
    <w:rsid w:val="009A7287"/>
    <w:rsid w:val="009A7D51"/>
    <w:rsid w:val="009B0258"/>
    <w:rsid w:val="009B0D9F"/>
    <w:rsid w:val="009B145D"/>
    <w:rsid w:val="009B1DC9"/>
    <w:rsid w:val="009B1EC5"/>
    <w:rsid w:val="009B23EF"/>
    <w:rsid w:val="009B2736"/>
    <w:rsid w:val="009B2EAC"/>
    <w:rsid w:val="009B3FEB"/>
    <w:rsid w:val="009B43B7"/>
    <w:rsid w:val="009B4A16"/>
    <w:rsid w:val="009B5137"/>
    <w:rsid w:val="009B6AE0"/>
    <w:rsid w:val="009B6AE3"/>
    <w:rsid w:val="009B6EA4"/>
    <w:rsid w:val="009B7BE6"/>
    <w:rsid w:val="009B7D0F"/>
    <w:rsid w:val="009B7FC6"/>
    <w:rsid w:val="009C0143"/>
    <w:rsid w:val="009C05B8"/>
    <w:rsid w:val="009C094A"/>
    <w:rsid w:val="009C0CC8"/>
    <w:rsid w:val="009C0DDA"/>
    <w:rsid w:val="009C192A"/>
    <w:rsid w:val="009C1B1A"/>
    <w:rsid w:val="009C2245"/>
    <w:rsid w:val="009C233B"/>
    <w:rsid w:val="009C251F"/>
    <w:rsid w:val="009C28AA"/>
    <w:rsid w:val="009C2B24"/>
    <w:rsid w:val="009C2D9B"/>
    <w:rsid w:val="009C3518"/>
    <w:rsid w:val="009C424C"/>
    <w:rsid w:val="009C462C"/>
    <w:rsid w:val="009C4706"/>
    <w:rsid w:val="009C5458"/>
    <w:rsid w:val="009C5553"/>
    <w:rsid w:val="009C57F4"/>
    <w:rsid w:val="009C5C35"/>
    <w:rsid w:val="009C5F99"/>
    <w:rsid w:val="009C5FD1"/>
    <w:rsid w:val="009C604C"/>
    <w:rsid w:val="009C6119"/>
    <w:rsid w:val="009C62C8"/>
    <w:rsid w:val="009C6E16"/>
    <w:rsid w:val="009C710D"/>
    <w:rsid w:val="009C7E81"/>
    <w:rsid w:val="009C7F35"/>
    <w:rsid w:val="009D02AF"/>
    <w:rsid w:val="009D0C06"/>
    <w:rsid w:val="009D0C1F"/>
    <w:rsid w:val="009D0CED"/>
    <w:rsid w:val="009D0FED"/>
    <w:rsid w:val="009D1403"/>
    <w:rsid w:val="009D14F8"/>
    <w:rsid w:val="009D16B0"/>
    <w:rsid w:val="009D1720"/>
    <w:rsid w:val="009D267A"/>
    <w:rsid w:val="009D2E31"/>
    <w:rsid w:val="009D307C"/>
    <w:rsid w:val="009D32C5"/>
    <w:rsid w:val="009D3300"/>
    <w:rsid w:val="009D42D5"/>
    <w:rsid w:val="009D477C"/>
    <w:rsid w:val="009D4A22"/>
    <w:rsid w:val="009D4FDD"/>
    <w:rsid w:val="009D5D04"/>
    <w:rsid w:val="009D6249"/>
    <w:rsid w:val="009D6839"/>
    <w:rsid w:val="009D68A7"/>
    <w:rsid w:val="009D6A27"/>
    <w:rsid w:val="009D7514"/>
    <w:rsid w:val="009D77B7"/>
    <w:rsid w:val="009D7C25"/>
    <w:rsid w:val="009E014F"/>
    <w:rsid w:val="009E079D"/>
    <w:rsid w:val="009E0849"/>
    <w:rsid w:val="009E0E3D"/>
    <w:rsid w:val="009E1268"/>
    <w:rsid w:val="009E14ED"/>
    <w:rsid w:val="009E1E0F"/>
    <w:rsid w:val="009E3648"/>
    <w:rsid w:val="009E3B27"/>
    <w:rsid w:val="009E418F"/>
    <w:rsid w:val="009E4573"/>
    <w:rsid w:val="009E4FC0"/>
    <w:rsid w:val="009E53B1"/>
    <w:rsid w:val="009E58D0"/>
    <w:rsid w:val="009E5D57"/>
    <w:rsid w:val="009E7166"/>
    <w:rsid w:val="009E7EDD"/>
    <w:rsid w:val="009F0069"/>
    <w:rsid w:val="009F1381"/>
    <w:rsid w:val="009F186B"/>
    <w:rsid w:val="009F1AF7"/>
    <w:rsid w:val="009F30F5"/>
    <w:rsid w:val="009F3646"/>
    <w:rsid w:val="009F3DCE"/>
    <w:rsid w:val="009F4068"/>
    <w:rsid w:val="009F40DA"/>
    <w:rsid w:val="009F467D"/>
    <w:rsid w:val="009F4A3B"/>
    <w:rsid w:val="009F4C34"/>
    <w:rsid w:val="009F4E3D"/>
    <w:rsid w:val="009F574D"/>
    <w:rsid w:val="009F5D99"/>
    <w:rsid w:val="009F6501"/>
    <w:rsid w:val="009F675F"/>
    <w:rsid w:val="009F7105"/>
    <w:rsid w:val="009F73DE"/>
    <w:rsid w:val="00A00CC4"/>
    <w:rsid w:val="00A00E25"/>
    <w:rsid w:val="00A024CD"/>
    <w:rsid w:val="00A02ED7"/>
    <w:rsid w:val="00A03208"/>
    <w:rsid w:val="00A046FB"/>
    <w:rsid w:val="00A06060"/>
    <w:rsid w:val="00A060C0"/>
    <w:rsid w:val="00A063BE"/>
    <w:rsid w:val="00A06450"/>
    <w:rsid w:val="00A064BC"/>
    <w:rsid w:val="00A069A8"/>
    <w:rsid w:val="00A072AD"/>
    <w:rsid w:val="00A074C3"/>
    <w:rsid w:val="00A10486"/>
    <w:rsid w:val="00A1106E"/>
    <w:rsid w:val="00A11166"/>
    <w:rsid w:val="00A115A6"/>
    <w:rsid w:val="00A125B4"/>
    <w:rsid w:val="00A1352C"/>
    <w:rsid w:val="00A1372C"/>
    <w:rsid w:val="00A137F4"/>
    <w:rsid w:val="00A1383E"/>
    <w:rsid w:val="00A14742"/>
    <w:rsid w:val="00A14927"/>
    <w:rsid w:val="00A15CA8"/>
    <w:rsid w:val="00A1637F"/>
    <w:rsid w:val="00A1656A"/>
    <w:rsid w:val="00A170A5"/>
    <w:rsid w:val="00A173BE"/>
    <w:rsid w:val="00A175FF"/>
    <w:rsid w:val="00A1761A"/>
    <w:rsid w:val="00A17C9A"/>
    <w:rsid w:val="00A20080"/>
    <w:rsid w:val="00A20559"/>
    <w:rsid w:val="00A205CC"/>
    <w:rsid w:val="00A2070C"/>
    <w:rsid w:val="00A21220"/>
    <w:rsid w:val="00A2214E"/>
    <w:rsid w:val="00A2263E"/>
    <w:rsid w:val="00A23496"/>
    <w:rsid w:val="00A235C0"/>
    <w:rsid w:val="00A239DC"/>
    <w:rsid w:val="00A24225"/>
    <w:rsid w:val="00A24334"/>
    <w:rsid w:val="00A24818"/>
    <w:rsid w:val="00A24CDC"/>
    <w:rsid w:val="00A24EC5"/>
    <w:rsid w:val="00A24F4E"/>
    <w:rsid w:val="00A2571A"/>
    <w:rsid w:val="00A25A70"/>
    <w:rsid w:val="00A25D6A"/>
    <w:rsid w:val="00A26126"/>
    <w:rsid w:val="00A305F9"/>
    <w:rsid w:val="00A30930"/>
    <w:rsid w:val="00A309DA"/>
    <w:rsid w:val="00A30E65"/>
    <w:rsid w:val="00A31A4F"/>
    <w:rsid w:val="00A3201F"/>
    <w:rsid w:val="00A32D8B"/>
    <w:rsid w:val="00A33035"/>
    <w:rsid w:val="00A33570"/>
    <w:rsid w:val="00A3393A"/>
    <w:rsid w:val="00A352E3"/>
    <w:rsid w:val="00A3547F"/>
    <w:rsid w:val="00A357CE"/>
    <w:rsid w:val="00A3580D"/>
    <w:rsid w:val="00A3618C"/>
    <w:rsid w:val="00A3654C"/>
    <w:rsid w:val="00A36561"/>
    <w:rsid w:val="00A40570"/>
    <w:rsid w:val="00A40BE0"/>
    <w:rsid w:val="00A41085"/>
    <w:rsid w:val="00A41631"/>
    <w:rsid w:val="00A41730"/>
    <w:rsid w:val="00A42057"/>
    <w:rsid w:val="00A422C2"/>
    <w:rsid w:val="00A42966"/>
    <w:rsid w:val="00A42DC1"/>
    <w:rsid w:val="00A42EBC"/>
    <w:rsid w:val="00A42FC5"/>
    <w:rsid w:val="00A432C4"/>
    <w:rsid w:val="00A43924"/>
    <w:rsid w:val="00A439D4"/>
    <w:rsid w:val="00A43C55"/>
    <w:rsid w:val="00A43D85"/>
    <w:rsid w:val="00A4423E"/>
    <w:rsid w:val="00A444DD"/>
    <w:rsid w:val="00A44A99"/>
    <w:rsid w:val="00A44B41"/>
    <w:rsid w:val="00A44D39"/>
    <w:rsid w:val="00A45C75"/>
    <w:rsid w:val="00A46381"/>
    <w:rsid w:val="00A46F03"/>
    <w:rsid w:val="00A47DCE"/>
    <w:rsid w:val="00A50911"/>
    <w:rsid w:val="00A50AAA"/>
    <w:rsid w:val="00A51098"/>
    <w:rsid w:val="00A51285"/>
    <w:rsid w:val="00A512F5"/>
    <w:rsid w:val="00A513EE"/>
    <w:rsid w:val="00A5153B"/>
    <w:rsid w:val="00A52086"/>
    <w:rsid w:val="00A52501"/>
    <w:rsid w:val="00A53BAB"/>
    <w:rsid w:val="00A53BFC"/>
    <w:rsid w:val="00A53F53"/>
    <w:rsid w:val="00A5414C"/>
    <w:rsid w:val="00A54184"/>
    <w:rsid w:val="00A54543"/>
    <w:rsid w:val="00A5501F"/>
    <w:rsid w:val="00A551D2"/>
    <w:rsid w:val="00A552B9"/>
    <w:rsid w:val="00A552DF"/>
    <w:rsid w:val="00A554AD"/>
    <w:rsid w:val="00A55DCA"/>
    <w:rsid w:val="00A56160"/>
    <w:rsid w:val="00A56849"/>
    <w:rsid w:val="00A56BDD"/>
    <w:rsid w:val="00A60051"/>
    <w:rsid w:val="00A6052D"/>
    <w:rsid w:val="00A60BBF"/>
    <w:rsid w:val="00A60FAF"/>
    <w:rsid w:val="00A614EE"/>
    <w:rsid w:val="00A615C8"/>
    <w:rsid w:val="00A62647"/>
    <w:rsid w:val="00A62B25"/>
    <w:rsid w:val="00A63856"/>
    <w:rsid w:val="00A639D2"/>
    <w:rsid w:val="00A63B9D"/>
    <w:rsid w:val="00A63E90"/>
    <w:rsid w:val="00A642A7"/>
    <w:rsid w:val="00A6452E"/>
    <w:rsid w:val="00A646FC"/>
    <w:rsid w:val="00A65019"/>
    <w:rsid w:val="00A65030"/>
    <w:rsid w:val="00A6669F"/>
    <w:rsid w:val="00A66850"/>
    <w:rsid w:val="00A669AB"/>
    <w:rsid w:val="00A66B7A"/>
    <w:rsid w:val="00A66C4C"/>
    <w:rsid w:val="00A66EE0"/>
    <w:rsid w:val="00A66F34"/>
    <w:rsid w:val="00A66F4E"/>
    <w:rsid w:val="00A67779"/>
    <w:rsid w:val="00A6791C"/>
    <w:rsid w:val="00A67D55"/>
    <w:rsid w:val="00A67D94"/>
    <w:rsid w:val="00A7006E"/>
    <w:rsid w:val="00A70566"/>
    <w:rsid w:val="00A706E4"/>
    <w:rsid w:val="00A70D17"/>
    <w:rsid w:val="00A7117D"/>
    <w:rsid w:val="00A72135"/>
    <w:rsid w:val="00A72299"/>
    <w:rsid w:val="00A7276D"/>
    <w:rsid w:val="00A72A0B"/>
    <w:rsid w:val="00A72CC4"/>
    <w:rsid w:val="00A73091"/>
    <w:rsid w:val="00A732DB"/>
    <w:rsid w:val="00A73981"/>
    <w:rsid w:val="00A73C0E"/>
    <w:rsid w:val="00A747F6"/>
    <w:rsid w:val="00A75EC6"/>
    <w:rsid w:val="00A765C8"/>
    <w:rsid w:val="00A76939"/>
    <w:rsid w:val="00A771B6"/>
    <w:rsid w:val="00A774FA"/>
    <w:rsid w:val="00A779A0"/>
    <w:rsid w:val="00A779E8"/>
    <w:rsid w:val="00A80B6A"/>
    <w:rsid w:val="00A8154C"/>
    <w:rsid w:val="00A8155E"/>
    <w:rsid w:val="00A8192D"/>
    <w:rsid w:val="00A81B26"/>
    <w:rsid w:val="00A81BCB"/>
    <w:rsid w:val="00A820A1"/>
    <w:rsid w:val="00A826E1"/>
    <w:rsid w:val="00A82D0A"/>
    <w:rsid w:val="00A834CD"/>
    <w:rsid w:val="00A837E2"/>
    <w:rsid w:val="00A83CC6"/>
    <w:rsid w:val="00A84151"/>
    <w:rsid w:val="00A86D3E"/>
    <w:rsid w:val="00A86F41"/>
    <w:rsid w:val="00A86FCE"/>
    <w:rsid w:val="00A8780B"/>
    <w:rsid w:val="00A87829"/>
    <w:rsid w:val="00A878D4"/>
    <w:rsid w:val="00A879CA"/>
    <w:rsid w:val="00A87C4C"/>
    <w:rsid w:val="00A913BA"/>
    <w:rsid w:val="00A9148C"/>
    <w:rsid w:val="00A917BC"/>
    <w:rsid w:val="00A92937"/>
    <w:rsid w:val="00A9298E"/>
    <w:rsid w:val="00A936C7"/>
    <w:rsid w:val="00A93B84"/>
    <w:rsid w:val="00A93FC2"/>
    <w:rsid w:val="00A94EC0"/>
    <w:rsid w:val="00A9544C"/>
    <w:rsid w:val="00A9600F"/>
    <w:rsid w:val="00A96849"/>
    <w:rsid w:val="00A96A2A"/>
    <w:rsid w:val="00A96C97"/>
    <w:rsid w:val="00A96D0F"/>
    <w:rsid w:val="00A970F7"/>
    <w:rsid w:val="00A97AFC"/>
    <w:rsid w:val="00A97B79"/>
    <w:rsid w:val="00A97ED3"/>
    <w:rsid w:val="00AA04CD"/>
    <w:rsid w:val="00AA04F0"/>
    <w:rsid w:val="00AA0C99"/>
    <w:rsid w:val="00AA16B3"/>
    <w:rsid w:val="00AA1B01"/>
    <w:rsid w:val="00AA1B0C"/>
    <w:rsid w:val="00AA25F2"/>
    <w:rsid w:val="00AA31E1"/>
    <w:rsid w:val="00AA3551"/>
    <w:rsid w:val="00AA3BCF"/>
    <w:rsid w:val="00AA3FAD"/>
    <w:rsid w:val="00AA4744"/>
    <w:rsid w:val="00AA48DE"/>
    <w:rsid w:val="00AA4BB2"/>
    <w:rsid w:val="00AA4F52"/>
    <w:rsid w:val="00AA516D"/>
    <w:rsid w:val="00AA51AF"/>
    <w:rsid w:val="00AA5CE3"/>
    <w:rsid w:val="00AA61FF"/>
    <w:rsid w:val="00AA6261"/>
    <w:rsid w:val="00AA62FF"/>
    <w:rsid w:val="00AA6B83"/>
    <w:rsid w:val="00AA6C9F"/>
    <w:rsid w:val="00AA722F"/>
    <w:rsid w:val="00AA7807"/>
    <w:rsid w:val="00AA7986"/>
    <w:rsid w:val="00AA7FA2"/>
    <w:rsid w:val="00AB00E9"/>
    <w:rsid w:val="00AB0227"/>
    <w:rsid w:val="00AB09D8"/>
    <w:rsid w:val="00AB0C03"/>
    <w:rsid w:val="00AB1010"/>
    <w:rsid w:val="00AB1302"/>
    <w:rsid w:val="00AB237E"/>
    <w:rsid w:val="00AB274E"/>
    <w:rsid w:val="00AB30AD"/>
    <w:rsid w:val="00AB340E"/>
    <w:rsid w:val="00AB34ED"/>
    <w:rsid w:val="00AB4309"/>
    <w:rsid w:val="00AB48B6"/>
    <w:rsid w:val="00AB4FD3"/>
    <w:rsid w:val="00AB5553"/>
    <w:rsid w:val="00AB613C"/>
    <w:rsid w:val="00AB626D"/>
    <w:rsid w:val="00AB65E0"/>
    <w:rsid w:val="00AB6BA0"/>
    <w:rsid w:val="00AB70F3"/>
    <w:rsid w:val="00AB727D"/>
    <w:rsid w:val="00AB7648"/>
    <w:rsid w:val="00AB7B5A"/>
    <w:rsid w:val="00AC0317"/>
    <w:rsid w:val="00AC0345"/>
    <w:rsid w:val="00AC0B29"/>
    <w:rsid w:val="00AC0ECC"/>
    <w:rsid w:val="00AC2188"/>
    <w:rsid w:val="00AC24E9"/>
    <w:rsid w:val="00AC2C8F"/>
    <w:rsid w:val="00AC3256"/>
    <w:rsid w:val="00AC4933"/>
    <w:rsid w:val="00AC4D92"/>
    <w:rsid w:val="00AC511F"/>
    <w:rsid w:val="00AC535E"/>
    <w:rsid w:val="00AC547A"/>
    <w:rsid w:val="00AC5739"/>
    <w:rsid w:val="00AC5CA7"/>
    <w:rsid w:val="00AC6884"/>
    <w:rsid w:val="00AC69BC"/>
    <w:rsid w:val="00AC6A88"/>
    <w:rsid w:val="00AC6AD0"/>
    <w:rsid w:val="00AC6BDF"/>
    <w:rsid w:val="00AC7281"/>
    <w:rsid w:val="00AC72D1"/>
    <w:rsid w:val="00AC7475"/>
    <w:rsid w:val="00AC7FB8"/>
    <w:rsid w:val="00AD0DEF"/>
    <w:rsid w:val="00AD0F24"/>
    <w:rsid w:val="00AD1324"/>
    <w:rsid w:val="00AD14A6"/>
    <w:rsid w:val="00AD1E47"/>
    <w:rsid w:val="00AD1F16"/>
    <w:rsid w:val="00AD25FB"/>
    <w:rsid w:val="00AD286E"/>
    <w:rsid w:val="00AD3A80"/>
    <w:rsid w:val="00AD4837"/>
    <w:rsid w:val="00AD4C48"/>
    <w:rsid w:val="00AD4DC0"/>
    <w:rsid w:val="00AD505B"/>
    <w:rsid w:val="00AD50F6"/>
    <w:rsid w:val="00AD524A"/>
    <w:rsid w:val="00AD5641"/>
    <w:rsid w:val="00AD72A9"/>
    <w:rsid w:val="00AD733B"/>
    <w:rsid w:val="00AE014E"/>
    <w:rsid w:val="00AE042C"/>
    <w:rsid w:val="00AE08DB"/>
    <w:rsid w:val="00AE2133"/>
    <w:rsid w:val="00AE2995"/>
    <w:rsid w:val="00AE2A1D"/>
    <w:rsid w:val="00AE2E26"/>
    <w:rsid w:val="00AE31AF"/>
    <w:rsid w:val="00AE35F5"/>
    <w:rsid w:val="00AE4A6D"/>
    <w:rsid w:val="00AE58FB"/>
    <w:rsid w:val="00AE5923"/>
    <w:rsid w:val="00AE5C50"/>
    <w:rsid w:val="00AE6189"/>
    <w:rsid w:val="00AE6381"/>
    <w:rsid w:val="00AE64FE"/>
    <w:rsid w:val="00AE6BCC"/>
    <w:rsid w:val="00AE6C48"/>
    <w:rsid w:val="00AE7117"/>
    <w:rsid w:val="00AE78BE"/>
    <w:rsid w:val="00AF0438"/>
    <w:rsid w:val="00AF074C"/>
    <w:rsid w:val="00AF11B0"/>
    <w:rsid w:val="00AF16C4"/>
    <w:rsid w:val="00AF1B08"/>
    <w:rsid w:val="00AF1D7E"/>
    <w:rsid w:val="00AF20E0"/>
    <w:rsid w:val="00AF22D0"/>
    <w:rsid w:val="00AF314A"/>
    <w:rsid w:val="00AF3259"/>
    <w:rsid w:val="00AF369F"/>
    <w:rsid w:val="00AF3BBB"/>
    <w:rsid w:val="00AF3CF0"/>
    <w:rsid w:val="00AF4280"/>
    <w:rsid w:val="00AF4FD3"/>
    <w:rsid w:val="00AF515F"/>
    <w:rsid w:val="00AF5676"/>
    <w:rsid w:val="00AF65E6"/>
    <w:rsid w:val="00AF6944"/>
    <w:rsid w:val="00AF719A"/>
    <w:rsid w:val="00AF7CD5"/>
    <w:rsid w:val="00B00954"/>
    <w:rsid w:val="00B00CE5"/>
    <w:rsid w:val="00B01075"/>
    <w:rsid w:val="00B0136B"/>
    <w:rsid w:val="00B01F75"/>
    <w:rsid w:val="00B02301"/>
    <w:rsid w:val="00B0233B"/>
    <w:rsid w:val="00B02457"/>
    <w:rsid w:val="00B03296"/>
    <w:rsid w:val="00B0385C"/>
    <w:rsid w:val="00B03C32"/>
    <w:rsid w:val="00B0426D"/>
    <w:rsid w:val="00B043CE"/>
    <w:rsid w:val="00B054EB"/>
    <w:rsid w:val="00B0570D"/>
    <w:rsid w:val="00B06101"/>
    <w:rsid w:val="00B061C7"/>
    <w:rsid w:val="00B066B0"/>
    <w:rsid w:val="00B068EF"/>
    <w:rsid w:val="00B069C2"/>
    <w:rsid w:val="00B076F3"/>
    <w:rsid w:val="00B07963"/>
    <w:rsid w:val="00B10067"/>
    <w:rsid w:val="00B10070"/>
    <w:rsid w:val="00B10864"/>
    <w:rsid w:val="00B10B67"/>
    <w:rsid w:val="00B10E7E"/>
    <w:rsid w:val="00B10F29"/>
    <w:rsid w:val="00B11AB9"/>
    <w:rsid w:val="00B122A6"/>
    <w:rsid w:val="00B13093"/>
    <w:rsid w:val="00B1345C"/>
    <w:rsid w:val="00B1401F"/>
    <w:rsid w:val="00B140DA"/>
    <w:rsid w:val="00B1417D"/>
    <w:rsid w:val="00B14A88"/>
    <w:rsid w:val="00B14BAD"/>
    <w:rsid w:val="00B14D92"/>
    <w:rsid w:val="00B14DCA"/>
    <w:rsid w:val="00B1507D"/>
    <w:rsid w:val="00B151B3"/>
    <w:rsid w:val="00B16070"/>
    <w:rsid w:val="00B164A7"/>
    <w:rsid w:val="00B167C1"/>
    <w:rsid w:val="00B168C5"/>
    <w:rsid w:val="00B168CE"/>
    <w:rsid w:val="00B170A7"/>
    <w:rsid w:val="00B17219"/>
    <w:rsid w:val="00B17B6C"/>
    <w:rsid w:val="00B17D40"/>
    <w:rsid w:val="00B17F58"/>
    <w:rsid w:val="00B20041"/>
    <w:rsid w:val="00B202C2"/>
    <w:rsid w:val="00B2076A"/>
    <w:rsid w:val="00B20E45"/>
    <w:rsid w:val="00B2111A"/>
    <w:rsid w:val="00B219D0"/>
    <w:rsid w:val="00B21A13"/>
    <w:rsid w:val="00B21DD6"/>
    <w:rsid w:val="00B22367"/>
    <w:rsid w:val="00B22373"/>
    <w:rsid w:val="00B22915"/>
    <w:rsid w:val="00B22DED"/>
    <w:rsid w:val="00B23E6E"/>
    <w:rsid w:val="00B24223"/>
    <w:rsid w:val="00B24254"/>
    <w:rsid w:val="00B24270"/>
    <w:rsid w:val="00B24338"/>
    <w:rsid w:val="00B25B83"/>
    <w:rsid w:val="00B25C5C"/>
    <w:rsid w:val="00B26175"/>
    <w:rsid w:val="00B262D8"/>
    <w:rsid w:val="00B26536"/>
    <w:rsid w:val="00B26D04"/>
    <w:rsid w:val="00B26E78"/>
    <w:rsid w:val="00B26FC5"/>
    <w:rsid w:val="00B2731C"/>
    <w:rsid w:val="00B276E0"/>
    <w:rsid w:val="00B302A2"/>
    <w:rsid w:val="00B312A6"/>
    <w:rsid w:val="00B31C33"/>
    <w:rsid w:val="00B31D60"/>
    <w:rsid w:val="00B32110"/>
    <w:rsid w:val="00B3215C"/>
    <w:rsid w:val="00B32CBA"/>
    <w:rsid w:val="00B32EB2"/>
    <w:rsid w:val="00B33CF2"/>
    <w:rsid w:val="00B33D48"/>
    <w:rsid w:val="00B342F3"/>
    <w:rsid w:val="00B355D0"/>
    <w:rsid w:val="00B356CA"/>
    <w:rsid w:val="00B35763"/>
    <w:rsid w:val="00B363EE"/>
    <w:rsid w:val="00B365C9"/>
    <w:rsid w:val="00B366AD"/>
    <w:rsid w:val="00B3725E"/>
    <w:rsid w:val="00B37E97"/>
    <w:rsid w:val="00B4246B"/>
    <w:rsid w:val="00B4290F"/>
    <w:rsid w:val="00B42A07"/>
    <w:rsid w:val="00B43233"/>
    <w:rsid w:val="00B4341D"/>
    <w:rsid w:val="00B437B9"/>
    <w:rsid w:val="00B43AD0"/>
    <w:rsid w:val="00B43D5B"/>
    <w:rsid w:val="00B443AB"/>
    <w:rsid w:val="00B444C1"/>
    <w:rsid w:val="00B446DE"/>
    <w:rsid w:val="00B44E1A"/>
    <w:rsid w:val="00B44EDD"/>
    <w:rsid w:val="00B4506A"/>
    <w:rsid w:val="00B46177"/>
    <w:rsid w:val="00B467AF"/>
    <w:rsid w:val="00B46865"/>
    <w:rsid w:val="00B46CF4"/>
    <w:rsid w:val="00B476CB"/>
    <w:rsid w:val="00B47D3A"/>
    <w:rsid w:val="00B47E74"/>
    <w:rsid w:val="00B500BE"/>
    <w:rsid w:val="00B50E5F"/>
    <w:rsid w:val="00B52423"/>
    <w:rsid w:val="00B52597"/>
    <w:rsid w:val="00B5283B"/>
    <w:rsid w:val="00B52A74"/>
    <w:rsid w:val="00B52F04"/>
    <w:rsid w:val="00B5326B"/>
    <w:rsid w:val="00B53367"/>
    <w:rsid w:val="00B533E4"/>
    <w:rsid w:val="00B539F0"/>
    <w:rsid w:val="00B53A85"/>
    <w:rsid w:val="00B53DE7"/>
    <w:rsid w:val="00B54982"/>
    <w:rsid w:val="00B54D59"/>
    <w:rsid w:val="00B55488"/>
    <w:rsid w:val="00B55871"/>
    <w:rsid w:val="00B56AF9"/>
    <w:rsid w:val="00B572FD"/>
    <w:rsid w:val="00B576C7"/>
    <w:rsid w:val="00B602E4"/>
    <w:rsid w:val="00B60540"/>
    <w:rsid w:val="00B6076D"/>
    <w:rsid w:val="00B60A8F"/>
    <w:rsid w:val="00B613A0"/>
    <w:rsid w:val="00B61AB5"/>
    <w:rsid w:val="00B61D59"/>
    <w:rsid w:val="00B61D97"/>
    <w:rsid w:val="00B63444"/>
    <w:rsid w:val="00B635BA"/>
    <w:rsid w:val="00B63E4C"/>
    <w:rsid w:val="00B6430E"/>
    <w:rsid w:val="00B65070"/>
    <w:rsid w:val="00B65946"/>
    <w:rsid w:val="00B65FB4"/>
    <w:rsid w:val="00B666E7"/>
    <w:rsid w:val="00B6703F"/>
    <w:rsid w:val="00B67A89"/>
    <w:rsid w:val="00B67B21"/>
    <w:rsid w:val="00B67F40"/>
    <w:rsid w:val="00B70178"/>
    <w:rsid w:val="00B705E5"/>
    <w:rsid w:val="00B71026"/>
    <w:rsid w:val="00B71438"/>
    <w:rsid w:val="00B721B1"/>
    <w:rsid w:val="00B7262C"/>
    <w:rsid w:val="00B7294E"/>
    <w:rsid w:val="00B72D44"/>
    <w:rsid w:val="00B72D83"/>
    <w:rsid w:val="00B73048"/>
    <w:rsid w:val="00B7332C"/>
    <w:rsid w:val="00B7394A"/>
    <w:rsid w:val="00B73A18"/>
    <w:rsid w:val="00B73A4C"/>
    <w:rsid w:val="00B73ECC"/>
    <w:rsid w:val="00B7418E"/>
    <w:rsid w:val="00B7502C"/>
    <w:rsid w:val="00B752CA"/>
    <w:rsid w:val="00B75C1F"/>
    <w:rsid w:val="00B75E30"/>
    <w:rsid w:val="00B769A1"/>
    <w:rsid w:val="00B770DF"/>
    <w:rsid w:val="00B771F0"/>
    <w:rsid w:val="00B772A6"/>
    <w:rsid w:val="00B773AB"/>
    <w:rsid w:val="00B77657"/>
    <w:rsid w:val="00B8000B"/>
    <w:rsid w:val="00B801AB"/>
    <w:rsid w:val="00B8107A"/>
    <w:rsid w:val="00B815DB"/>
    <w:rsid w:val="00B81661"/>
    <w:rsid w:val="00B817B2"/>
    <w:rsid w:val="00B81D6D"/>
    <w:rsid w:val="00B81FB0"/>
    <w:rsid w:val="00B81FEB"/>
    <w:rsid w:val="00B82228"/>
    <w:rsid w:val="00B8264D"/>
    <w:rsid w:val="00B8296D"/>
    <w:rsid w:val="00B83812"/>
    <w:rsid w:val="00B839E7"/>
    <w:rsid w:val="00B84018"/>
    <w:rsid w:val="00B84635"/>
    <w:rsid w:val="00B84A75"/>
    <w:rsid w:val="00B85DB8"/>
    <w:rsid w:val="00B85F15"/>
    <w:rsid w:val="00B869CA"/>
    <w:rsid w:val="00B86A86"/>
    <w:rsid w:val="00B870A1"/>
    <w:rsid w:val="00B87176"/>
    <w:rsid w:val="00B873CE"/>
    <w:rsid w:val="00B8750D"/>
    <w:rsid w:val="00B87C79"/>
    <w:rsid w:val="00B87DBF"/>
    <w:rsid w:val="00B87FCF"/>
    <w:rsid w:val="00B90807"/>
    <w:rsid w:val="00B90CE3"/>
    <w:rsid w:val="00B91300"/>
    <w:rsid w:val="00B914FC"/>
    <w:rsid w:val="00B91C33"/>
    <w:rsid w:val="00B9207E"/>
    <w:rsid w:val="00B9252C"/>
    <w:rsid w:val="00B92593"/>
    <w:rsid w:val="00B92A0F"/>
    <w:rsid w:val="00B92D2C"/>
    <w:rsid w:val="00B92F41"/>
    <w:rsid w:val="00B93617"/>
    <w:rsid w:val="00B93BEB"/>
    <w:rsid w:val="00B94009"/>
    <w:rsid w:val="00B9401E"/>
    <w:rsid w:val="00B94B44"/>
    <w:rsid w:val="00B951A2"/>
    <w:rsid w:val="00B95728"/>
    <w:rsid w:val="00B969D2"/>
    <w:rsid w:val="00B96AD4"/>
    <w:rsid w:val="00B972A8"/>
    <w:rsid w:val="00BA02AF"/>
    <w:rsid w:val="00BA06B7"/>
    <w:rsid w:val="00BA0710"/>
    <w:rsid w:val="00BA0848"/>
    <w:rsid w:val="00BA0E2A"/>
    <w:rsid w:val="00BA1318"/>
    <w:rsid w:val="00BA13D7"/>
    <w:rsid w:val="00BA15AB"/>
    <w:rsid w:val="00BA1AA3"/>
    <w:rsid w:val="00BA231A"/>
    <w:rsid w:val="00BA255E"/>
    <w:rsid w:val="00BA2C6E"/>
    <w:rsid w:val="00BA2CE8"/>
    <w:rsid w:val="00BA2E56"/>
    <w:rsid w:val="00BA39C5"/>
    <w:rsid w:val="00BA465B"/>
    <w:rsid w:val="00BA4920"/>
    <w:rsid w:val="00BA4ED3"/>
    <w:rsid w:val="00BA55D2"/>
    <w:rsid w:val="00BA6210"/>
    <w:rsid w:val="00BA68A0"/>
    <w:rsid w:val="00BA69E0"/>
    <w:rsid w:val="00BA6F6F"/>
    <w:rsid w:val="00BA711E"/>
    <w:rsid w:val="00BA7A9F"/>
    <w:rsid w:val="00BA7D10"/>
    <w:rsid w:val="00BB02AB"/>
    <w:rsid w:val="00BB046A"/>
    <w:rsid w:val="00BB0BA4"/>
    <w:rsid w:val="00BB0BB3"/>
    <w:rsid w:val="00BB0C81"/>
    <w:rsid w:val="00BB12EE"/>
    <w:rsid w:val="00BB1881"/>
    <w:rsid w:val="00BB31EE"/>
    <w:rsid w:val="00BB38FD"/>
    <w:rsid w:val="00BB3E56"/>
    <w:rsid w:val="00BB4062"/>
    <w:rsid w:val="00BB40C4"/>
    <w:rsid w:val="00BB4F55"/>
    <w:rsid w:val="00BB5457"/>
    <w:rsid w:val="00BB55D0"/>
    <w:rsid w:val="00BB6138"/>
    <w:rsid w:val="00BB684A"/>
    <w:rsid w:val="00BB6ABA"/>
    <w:rsid w:val="00BB6BF9"/>
    <w:rsid w:val="00BB7C0E"/>
    <w:rsid w:val="00BB7E8F"/>
    <w:rsid w:val="00BB7FDD"/>
    <w:rsid w:val="00BB7FF8"/>
    <w:rsid w:val="00BC0090"/>
    <w:rsid w:val="00BC03C9"/>
    <w:rsid w:val="00BC105E"/>
    <w:rsid w:val="00BC1130"/>
    <w:rsid w:val="00BC2322"/>
    <w:rsid w:val="00BC2417"/>
    <w:rsid w:val="00BC2719"/>
    <w:rsid w:val="00BC2F56"/>
    <w:rsid w:val="00BC36D0"/>
    <w:rsid w:val="00BC3856"/>
    <w:rsid w:val="00BC38B0"/>
    <w:rsid w:val="00BC46C4"/>
    <w:rsid w:val="00BC5661"/>
    <w:rsid w:val="00BC5BC5"/>
    <w:rsid w:val="00BC7353"/>
    <w:rsid w:val="00BC7AD4"/>
    <w:rsid w:val="00BC7EC4"/>
    <w:rsid w:val="00BD0111"/>
    <w:rsid w:val="00BD0611"/>
    <w:rsid w:val="00BD07F2"/>
    <w:rsid w:val="00BD0A20"/>
    <w:rsid w:val="00BD10F4"/>
    <w:rsid w:val="00BD1430"/>
    <w:rsid w:val="00BD1678"/>
    <w:rsid w:val="00BD1BAE"/>
    <w:rsid w:val="00BD20C0"/>
    <w:rsid w:val="00BD27DA"/>
    <w:rsid w:val="00BD343C"/>
    <w:rsid w:val="00BD3F61"/>
    <w:rsid w:val="00BD418E"/>
    <w:rsid w:val="00BD4249"/>
    <w:rsid w:val="00BD4408"/>
    <w:rsid w:val="00BD458D"/>
    <w:rsid w:val="00BD4692"/>
    <w:rsid w:val="00BD491D"/>
    <w:rsid w:val="00BD4F32"/>
    <w:rsid w:val="00BD5082"/>
    <w:rsid w:val="00BD5343"/>
    <w:rsid w:val="00BD5358"/>
    <w:rsid w:val="00BD5477"/>
    <w:rsid w:val="00BD5515"/>
    <w:rsid w:val="00BD5E78"/>
    <w:rsid w:val="00BD61EE"/>
    <w:rsid w:val="00BD64EC"/>
    <w:rsid w:val="00BD73E2"/>
    <w:rsid w:val="00BD7466"/>
    <w:rsid w:val="00BD7705"/>
    <w:rsid w:val="00BD7780"/>
    <w:rsid w:val="00BE0008"/>
    <w:rsid w:val="00BE0428"/>
    <w:rsid w:val="00BE1B0D"/>
    <w:rsid w:val="00BE284E"/>
    <w:rsid w:val="00BE43F8"/>
    <w:rsid w:val="00BE4FE7"/>
    <w:rsid w:val="00BE5004"/>
    <w:rsid w:val="00BE5C2B"/>
    <w:rsid w:val="00BE606C"/>
    <w:rsid w:val="00BE66FC"/>
    <w:rsid w:val="00BE6D25"/>
    <w:rsid w:val="00BE6DB3"/>
    <w:rsid w:val="00BE6DF3"/>
    <w:rsid w:val="00BE6DFB"/>
    <w:rsid w:val="00BE6E5B"/>
    <w:rsid w:val="00BE7DE8"/>
    <w:rsid w:val="00BE7F68"/>
    <w:rsid w:val="00BF031A"/>
    <w:rsid w:val="00BF0C5F"/>
    <w:rsid w:val="00BF11B1"/>
    <w:rsid w:val="00BF173B"/>
    <w:rsid w:val="00BF1C7E"/>
    <w:rsid w:val="00BF22F4"/>
    <w:rsid w:val="00BF258C"/>
    <w:rsid w:val="00BF2750"/>
    <w:rsid w:val="00BF301A"/>
    <w:rsid w:val="00BF3240"/>
    <w:rsid w:val="00BF3351"/>
    <w:rsid w:val="00BF33E1"/>
    <w:rsid w:val="00BF347F"/>
    <w:rsid w:val="00BF4512"/>
    <w:rsid w:val="00BF4648"/>
    <w:rsid w:val="00BF4F5A"/>
    <w:rsid w:val="00BF539F"/>
    <w:rsid w:val="00BF595E"/>
    <w:rsid w:val="00BF6253"/>
    <w:rsid w:val="00BF6699"/>
    <w:rsid w:val="00BF70A8"/>
    <w:rsid w:val="00BF7541"/>
    <w:rsid w:val="00BF777B"/>
    <w:rsid w:val="00BF77D6"/>
    <w:rsid w:val="00C002E8"/>
    <w:rsid w:val="00C00D9D"/>
    <w:rsid w:val="00C016F6"/>
    <w:rsid w:val="00C0177B"/>
    <w:rsid w:val="00C0228F"/>
    <w:rsid w:val="00C02415"/>
    <w:rsid w:val="00C02459"/>
    <w:rsid w:val="00C024B5"/>
    <w:rsid w:val="00C02798"/>
    <w:rsid w:val="00C02C0A"/>
    <w:rsid w:val="00C02FDF"/>
    <w:rsid w:val="00C03490"/>
    <w:rsid w:val="00C03B35"/>
    <w:rsid w:val="00C03CDA"/>
    <w:rsid w:val="00C03D17"/>
    <w:rsid w:val="00C046CA"/>
    <w:rsid w:val="00C04725"/>
    <w:rsid w:val="00C0488A"/>
    <w:rsid w:val="00C04B09"/>
    <w:rsid w:val="00C04D5B"/>
    <w:rsid w:val="00C0559E"/>
    <w:rsid w:val="00C056A5"/>
    <w:rsid w:val="00C058D2"/>
    <w:rsid w:val="00C0651D"/>
    <w:rsid w:val="00C075FA"/>
    <w:rsid w:val="00C0767E"/>
    <w:rsid w:val="00C07A43"/>
    <w:rsid w:val="00C07B4A"/>
    <w:rsid w:val="00C107A6"/>
    <w:rsid w:val="00C108B7"/>
    <w:rsid w:val="00C1160A"/>
    <w:rsid w:val="00C1186C"/>
    <w:rsid w:val="00C118BE"/>
    <w:rsid w:val="00C11FEB"/>
    <w:rsid w:val="00C12042"/>
    <w:rsid w:val="00C12098"/>
    <w:rsid w:val="00C13818"/>
    <w:rsid w:val="00C1426F"/>
    <w:rsid w:val="00C14811"/>
    <w:rsid w:val="00C14882"/>
    <w:rsid w:val="00C163C4"/>
    <w:rsid w:val="00C16750"/>
    <w:rsid w:val="00C16857"/>
    <w:rsid w:val="00C16C93"/>
    <w:rsid w:val="00C16E4C"/>
    <w:rsid w:val="00C1712E"/>
    <w:rsid w:val="00C1748F"/>
    <w:rsid w:val="00C17B82"/>
    <w:rsid w:val="00C17DC3"/>
    <w:rsid w:val="00C17ECB"/>
    <w:rsid w:val="00C17ED1"/>
    <w:rsid w:val="00C20806"/>
    <w:rsid w:val="00C20808"/>
    <w:rsid w:val="00C20C51"/>
    <w:rsid w:val="00C213EE"/>
    <w:rsid w:val="00C217D5"/>
    <w:rsid w:val="00C22162"/>
    <w:rsid w:val="00C22D04"/>
    <w:rsid w:val="00C22DA0"/>
    <w:rsid w:val="00C2305C"/>
    <w:rsid w:val="00C236D1"/>
    <w:rsid w:val="00C23C66"/>
    <w:rsid w:val="00C24519"/>
    <w:rsid w:val="00C24F4B"/>
    <w:rsid w:val="00C25ECC"/>
    <w:rsid w:val="00C2613E"/>
    <w:rsid w:val="00C2633A"/>
    <w:rsid w:val="00C269AA"/>
    <w:rsid w:val="00C26BBD"/>
    <w:rsid w:val="00C2712D"/>
    <w:rsid w:val="00C27769"/>
    <w:rsid w:val="00C277D7"/>
    <w:rsid w:val="00C30554"/>
    <w:rsid w:val="00C30CCD"/>
    <w:rsid w:val="00C30FF7"/>
    <w:rsid w:val="00C31469"/>
    <w:rsid w:val="00C32BCB"/>
    <w:rsid w:val="00C32D6B"/>
    <w:rsid w:val="00C32DEA"/>
    <w:rsid w:val="00C330A6"/>
    <w:rsid w:val="00C330C8"/>
    <w:rsid w:val="00C331B9"/>
    <w:rsid w:val="00C33556"/>
    <w:rsid w:val="00C338EF"/>
    <w:rsid w:val="00C33994"/>
    <w:rsid w:val="00C33A55"/>
    <w:rsid w:val="00C33B09"/>
    <w:rsid w:val="00C34281"/>
    <w:rsid w:val="00C34544"/>
    <w:rsid w:val="00C348F9"/>
    <w:rsid w:val="00C34A8E"/>
    <w:rsid w:val="00C34BED"/>
    <w:rsid w:val="00C34E9C"/>
    <w:rsid w:val="00C352AC"/>
    <w:rsid w:val="00C354DA"/>
    <w:rsid w:val="00C35D31"/>
    <w:rsid w:val="00C3608A"/>
    <w:rsid w:val="00C369AB"/>
    <w:rsid w:val="00C3798A"/>
    <w:rsid w:val="00C4059D"/>
    <w:rsid w:val="00C4072F"/>
    <w:rsid w:val="00C41339"/>
    <w:rsid w:val="00C41820"/>
    <w:rsid w:val="00C41885"/>
    <w:rsid w:val="00C424A9"/>
    <w:rsid w:val="00C42846"/>
    <w:rsid w:val="00C42DC2"/>
    <w:rsid w:val="00C437F1"/>
    <w:rsid w:val="00C44304"/>
    <w:rsid w:val="00C44AC4"/>
    <w:rsid w:val="00C4524C"/>
    <w:rsid w:val="00C45D9E"/>
    <w:rsid w:val="00C4629D"/>
    <w:rsid w:val="00C46734"/>
    <w:rsid w:val="00C46F9A"/>
    <w:rsid w:val="00C471FB"/>
    <w:rsid w:val="00C47408"/>
    <w:rsid w:val="00C474A6"/>
    <w:rsid w:val="00C47ACD"/>
    <w:rsid w:val="00C500D6"/>
    <w:rsid w:val="00C503B1"/>
    <w:rsid w:val="00C504E0"/>
    <w:rsid w:val="00C5069E"/>
    <w:rsid w:val="00C50DFE"/>
    <w:rsid w:val="00C50FB8"/>
    <w:rsid w:val="00C510D3"/>
    <w:rsid w:val="00C51E6C"/>
    <w:rsid w:val="00C524E9"/>
    <w:rsid w:val="00C52678"/>
    <w:rsid w:val="00C52949"/>
    <w:rsid w:val="00C5316D"/>
    <w:rsid w:val="00C5318B"/>
    <w:rsid w:val="00C53E7D"/>
    <w:rsid w:val="00C54B5B"/>
    <w:rsid w:val="00C55618"/>
    <w:rsid w:val="00C557A7"/>
    <w:rsid w:val="00C55901"/>
    <w:rsid w:val="00C55AFF"/>
    <w:rsid w:val="00C55E05"/>
    <w:rsid w:val="00C563BE"/>
    <w:rsid w:val="00C57466"/>
    <w:rsid w:val="00C57993"/>
    <w:rsid w:val="00C57D3B"/>
    <w:rsid w:val="00C6075E"/>
    <w:rsid w:val="00C609BC"/>
    <w:rsid w:val="00C60F2D"/>
    <w:rsid w:val="00C61425"/>
    <w:rsid w:val="00C617AA"/>
    <w:rsid w:val="00C61B28"/>
    <w:rsid w:val="00C62118"/>
    <w:rsid w:val="00C62124"/>
    <w:rsid w:val="00C62548"/>
    <w:rsid w:val="00C6263A"/>
    <w:rsid w:val="00C626FF"/>
    <w:rsid w:val="00C62A74"/>
    <w:rsid w:val="00C62C2C"/>
    <w:rsid w:val="00C62E18"/>
    <w:rsid w:val="00C62EF4"/>
    <w:rsid w:val="00C63253"/>
    <w:rsid w:val="00C6326B"/>
    <w:rsid w:val="00C63472"/>
    <w:rsid w:val="00C63E0C"/>
    <w:rsid w:val="00C63FB6"/>
    <w:rsid w:val="00C646AB"/>
    <w:rsid w:val="00C647BF"/>
    <w:rsid w:val="00C6488D"/>
    <w:rsid w:val="00C64E8A"/>
    <w:rsid w:val="00C653A8"/>
    <w:rsid w:val="00C657BF"/>
    <w:rsid w:val="00C65C55"/>
    <w:rsid w:val="00C65C6F"/>
    <w:rsid w:val="00C672BC"/>
    <w:rsid w:val="00C675F0"/>
    <w:rsid w:val="00C676C6"/>
    <w:rsid w:val="00C70A14"/>
    <w:rsid w:val="00C70AEB"/>
    <w:rsid w:val="00C72839"/>
    <w:rsid w:val="00C73B86"/>
    <w:rsid w:val="00C73DAF"/>
    <w:rsid w:val="00C74457"/>
    <w:rsid w:val="00C74DD3"/>
    <w:rsid w:val="00C754CE"/>
    <w:rsid w:val="00C75526"/>
    <w:rsid w:val="00C75659"/>
    <w:rsid w:val="00C75688"/>
    <w:rsid w:val="00C7582A"/>
    <w:rsid w:val="00C759AC"/>
    <w:rsid w:val="00C75C69"/>
    <w:rsid w:val="00C763C7"/>
    <w:rsid w:val="00C76F4B"/>
    <w:rsid w:val="00C7733B"/>
    <w:rsid w:val="00C77B22"/>
    <w:rsid w:val="00C77D3D"/>
    <w:rsid w:val="00C800E6"/>
    <w:rsid w:val="00C808A8"/>
    <w:rsid w:val="00C80D42"/>
    <w:rsid w:val="00C8105C"/>
    <w:rsid w:val="00C81344"/>
    <w:rsid w:val="00C81AE3"/>
    <w:rsid w:val="00C83065"/>
    <w:rsid w:val="00C838E4"/>
    <w:rsid w:val="00C838F2"/>
    <w:rsid w:val="00C83943"/>
    <w:rsid w:val="00C83AD7"/>
    <w:rsid w:val="00C84268"/>
    <w:rsid w:val="00C8444A"/>
    <w:rsid w:val="00C844F3"/>
    <w:rsid w:val="00C84CFA"/>
    <w:rsid w:val="00C84F29"/>
    <w:rsid w:val="00C8551C"/>
    <w:rsid w:val="00C85FAF"/>
    <w:rsid w:val="00C861B5"/>
    <w:rsid w:val="00C86640"/>
    <w:rsid w:val="00C8670F"/>
    <w:rsid w:val="00C86DDB"/>
    <w:rsid w:val="00C87A0A"/>
    <w:rsid w:val="00C87F35"/>
    <w:rsid w:val="00C90C33"/>
    <w:rsid w:val="00C90CF4"/>
    <w:rsid w:val="00C90E19"/>
    <w:rsid w:val="00C92432"/>
    <w:rsid w:val="00C937FA"/>
    <w:rsid w:val="00C94016"/>
    <w:rsid w:val="00C94279"/>
    <w:rsid w:val="00C9456B"/>
    <w:rsid w:val="00C95524"/>
    <w:rsid w:val="00C95552"/>
    <w:rsid w:val="00C95D49"/>
    <w:rsid w:val="00C95E3A"/>
    <w:rsid w:val="00C95E87"/>
    <w:rsid w:val="00C962B4"/>
    <w:rsid w:val="00C968F5"/>
    <w:rsid w:val="00C972A0"/>
    <w:rsid w:val="00C97574"/>
    <w:rsid w:val="00C978C6"/>
    <w:rsid w:val="00C97B17"/>
    <w:rsid w:val="00CA01A6"/>
    <w:rsid w:val="00CA0268"/>
    <w:rsid w:val="00CA05E6"/>
    <w:rsid w:val="00CA0A22"/>
    <w:rsid w:val="00CA0F88"/>
    <w:rsid w:val="00CA12C3"/>
    <w:rsid w:val="00CA13BA"/>
    <w:rsid w:val="00CA166A"/>
    <w:rsid w:val="00CA17E7"/>
    <w:rsid w:val="00CA1B0F"/>
    <w:rsid w:val="00CA1E2F"/>
    <w:rsid w:val="00CA24A1"/>
    <w:rsid w:val="00CA2A0A"/>
    <w:rsid w:val="00CA2C6F"/>
    <w:rsid w:val="00CA2DC6"/>
    <w:rsid w:val="00CA390D"/>
    <w:rsid w:val="00CA40BD"/>
    <w:rsid w:val="00CA59A7"/>
    <w:rsid w:val="00CA65D7"/>
    <w:rsid w:val="00CA67DD"/>
    <w:rsid w:val="00CA6B51"/>
    <w:rsid w:val="00CA75A8"/>
    <w:rsid w:val="00CA7A57"/>
    <w:rsid w:val="00CA7D53"/>
    <w:rsid w:val="00CA7ED0"/>
    <w:rsid w:val="00CB02DC"/>
    <w:rsid w:val="00CB069B"/>
    <w:rsid w:val="00CB0941"/>
    <w:rsid w:val="00CB1065"/>
    <w:rsid w:val="00CB12E5"/>
    <w:rsid w:val="00CB159D"/>
    <w:rsid w:val="00CB1AB2"/>
    <w:rsid w:val="00CB1C99"/>
    <w:rsid w:val="00CB200F"/>
    <w:rsid w:val="00CB21C7"/>
    <w:rsid w:val="00CB2B01"/>
    <w:rsid w:val="00CB2BEC"/>
    <w:rsid w:val="00CB2D7B"/>
    <w:rsid w:val="00CB2E84"/>
    <w:rsid w:val="00CB2FCC"/>
    <w:rsid w:val="00CB31E3"/>
    <w:rsid w:val="00CB343F"/>
    <w:rsid w:val="00CB459B"/>
    <w:rsid w:val="00CB4692"/>
    <w:rsid w:val="00CB4CEE"/>
    <w:rsid w:val="00CB500C"/>
    <w:rsid w:val="00CB5654"/>
    <w:rsid w:val="00CB5A45"/>
    <w:rsid w:val="00CB5CE5"/>
    <w:rsid w:val="00CB622A"/>
    <w:rsid w:val="00CB6495"/>
    <w:rsid w:val="00CB662A"/>
    <w:rsid w:val="00CB6B30"/>
    <w:rsid w:val="00CB7152"/>
    <w:rsid w:val="00CB7A2A"/>
    <w:rsid w:val="00CC0011"/>
    <w:rsid w:val="00CC0A9D"/>
    <w:rsid w:val="00CC1155"/>
    <w:rsid w:val="00CC1DD9"/>
    <w:rsid w:val="00CC2160"/>
    <w:rsid w:val="00CC23EF"/>
    <w:rsid w:val="00CC2CAF"/>
    <w:rsid w:val="00CC3997"/>
    <w:rsid w:val="00CC3F14"/>
    <w:rsid w:val="00CC3F78"/>
    <w:rsid w:val="00CC56A9"/>
    <w:rsid w:val="00CC6038"/>
    <w:rsid w:val="00CC630C"/>
    <w:rsid w:val="00CC65AF"/>
    <w:rsid w:val="00CC73A2"/>
    <w:rsid w:val="00CC75C6"/>
    <w:rsid w:val="00CC763B"/>
    <w:rsid w:val="00CC7F0B"/>
    <w:rsid w:val="00CD0DBF"/>
    <w:rsid w:val="00CD1866"/>
    <w:rsid w:val="00CD1920"/>
    <w:rsid w:val="00CD204B"/>
    <w:rsid w:val="00CD27B6"/>
    <w:rsid w:val="00CD2BF0"/>
    <w:rsid w:val="00CD3596"/>
    <w:rsid w:val="00CD3A14"/>
    <w:rsid w:val="00CD3A5E"/>
    <w:rsid w:val="00CD4113"/>
    <w:rsid w:val="00CD48F6"/>
    <w:rsid w:val="00CD493F"/>
    <w:rsid w:val="00CD496C"/>
    <w:rsid w:val="00CD49BA"/>
    <w:rsid w:val="00CD528B"/>
    <w:rsid w:val="00CD5A27"/>
    <w:rsid w:val="00CD5BBB"/>
    <w:rsid w:val="00CD63BB"/>
    <w:rsid w:val="00CD655F"/>
    <w:rsid w:val="00CD6A34"/>
    <w:rsid w:val="00CD6B45"/>
    <w:rsid w:val="00CD6BAC"/>
    <w:rsid w:val="00CD70A7"/>
    <w:rsid w:val="00CD7A31"/>
    <w:rsid w:val="00CD7F3A"/>
    <w:rsid w:val="00CE0217"/>
    <w:rsid w:val="00CE048C"/>
    <w:rsid w:val="00CE0D18"/>
    <w:rsid w:val="00CE0D61"/>
    <w:rsid w:val="00CE1622"/>
    <w:rsid w:val="00CE19C4"/>
    <w:rsid w:val="00CE1CAC"/>
    <w:rsid w:val="00CE1FA4"/>
    <w:rsid w:val="00CE2217"/>
    <w:rsid w:val="00CE2BA4"/>
    <w:rsid w:val="00CE30E2"/>
    <w:rsid w:val="00CE329C"/>
    <w:rsid w:val="00CE3D15"/>
    <w:rsid w:val="00CE40D7"/>
    <w:rsid w:val="00CE40F8"/>
    <w:rsid w:val="00CE415D"/>
    <w:rsid w:val="00CE4319"/>
    <w:rsid w:val="00CE46D5"/>
    <w:rsid w:val="00CE498C"/>
    <w:rsid w:val="00CE4BE1"/>
    <w:rsid w:val="00CE4D9C"/>
    <w:rsid w:val="00CE535B"/>
    <w:rsid w:val="00CE5B3F"/>
    <w:rsid w:val="00CE6FA7"/>
    <w:rsid w:val="00CE7029"/>
    <w:rsid w:val="00CE73CC"/>
    <w:rsid w:val="00CE74FC"/>
    <w:rsid w:val="00CE7636"/>
    <w:rsid w:val="00CE7A49"/>
    <w:rsid w:val="00CE7DDA"/>
    <w:rsid w:val="00CE7E1A"/>
    <w:rsid w:val="00CF0278"/>
    <w:rsid w:val="00CF0378"/>
    <w:rsid w:val="00CF0921"/>
    <w:rsid w:val="00CF1570"/>
    <w:rsid w:val="00CF18CF"/>
    <w:rsid w:val="00CF23A8"/>
    <w:rsid w:val="00CF2786"/>
    <w:rsid w:val="00CF2C97"/>
    <w:rsid w:val="00CF3528"/>
    <w:rsid w:val="00CF3550"/>
    <w:rsid w:val="00CF3944"/>
    <w:rsid w:val="00CF3D65"/>
    <w:rsid w:val="00CF40E1"/>
    <w:rsid w:val="00CF44E3"/>
    <w:rsid w:val="00CF46C9"/>
    <w:rsid w:val="00CF493C"/>
    <w:rsid w:val="00CF4A79"/>
    <w:rsid w:val="00CF4FA4"/>
    <w:rsid w:val="00CF51A0"/>
    <w:rsid w:val="00CF51E9"/>
    <w:rsid w:val="00CF5982"/>
    <w:rsid w:val="00CF5D50"/>
    <w:rsid w:val="00CF5D62"/>
    <w:rsid w:val="00CF6FB2"/>
    <w:rsid w:val="00CF7172"/>
    <w:rsid w:val="00CF7941"/>
    <w:rsid w:val="00CF7A9E"/>
    <w:rsid w:val="00D00AB0"/>
    <w:rsid w:val="00D00DE5"/>
    <w:rsid w:val="00D01F72"/>
    <w:rsid w:val="00D02022"/>
    <w:rsid w:val="00D0330C"/>
    <w:rsid w:val="00D049AE"/>
    <w:rsid w:val="00D04A2D"/>
    <w:rsid w:val="00D04C29"/>
    <w:rsid w:val="00D0516D"/>
    <w:rsid w:val="00D0547B"/>
    <w:rsid w:val="00D066EF"/>
    <w:rsid w:val="00D06809"/>
    <w:rsid w:val="00D06824"/>
    <w:rsid w:val="00D06C5B"/>
    <w:rsid w:val="00D071EC"/>
    <w:rsid w:val="00D072F7"/>
    <w:rsid w:val="00D07551"/>
    <w:rsid w:val="00D07AA4"/>
    <w:rsid w:val="00D07C23"/>
    <w:rsid w:val="00D07CF9"/>
    <w:rsid w:val="00D07E75"/>
    <w:rsid w:val="00D103D3"/>
    <w:rsid w:val="00D12089"/>
    <w:rsid w:val="00D12235"/>
    <w:rsid w:val="00D125A6"/>
    <w:rsid w:val="00D13A75"/>
    <w:rsid w:val="00D13DA4"/>
    <w:rsid w:val="00D14052"/>
    <w:rsid w:val="00D14503"/>
    <w:rsid w:val="00D1482E"/>
    <w:rsid w:val="00D14B18"/>
    <w:rsid w:val="00D15C18"/>
    <w:rsid w:val="00D16447"/>
    <w:rsid w:val="00D16FA9"/>
    <w:rsid w:val="00D17A60"/>
    <w:rsid w:val="00D17F6C"/>
    <w:rsid w:val="00D20311"/>
    <w:rsid w:val="00D207F3"/>
    <w:rsid w:val="00D20968"/>
    <w:rsid w:val="00D21086"/>
    <w:rsid w:val="00D21265"/>
    <w:rsid w:val="00D213C7"/>
    <w:rsid w:val="00D219D9"/>
    <w:rsid w:val="00D2328D"/>
    <w:rsid w:val="00D2461E"/>
    <w:rsid w:val="00D24630"/>
    <w:rsid w:val="00D24A3F"/>
    <w:rsid w:val="00D24BD3"/>
    <w:rsid w:val="00D25008"/>
    <w:rsid w:val="00D251F2"/>
    <w:rsid w:val="00D25D2C"/>
    <w:rsid w:val="00D2665E"/>
    <w:rsid w:val="00D276D3"/>
    <w:rsid w:val="00D27882"/>
    <w:rsid w:val="00D302E2"/>
    <w:rsid w:val="00D3153E"/>
    <w:rsid w:val="00D31EE1"/>
    <w:rsid w:val="00D32244"/>
    <w:rsid w:val="00D326D6"/>
    <w:rsid w:val="00D331CD"/>
    <w:rsid w:val="00D33401"/>
    <w:rsid w:val="00D336EE"/>
    <w:rsid w:val="00D34A12"/>
    <w:rsid w:val="00D350DD"/>
    <w:rsid w:val="00D359EF"/>
    <w:rsid w:val="00D35C20"/>
    <w:rsid w:val="00D36919"/>
    <w:rsid w:val="00D36930"/>
    <w:rsid w:val="00D369C4"/>
    <w:rsid w:val="00D36EF9"/>
    <w:rsid w:val="00D3770A"/>
    <w:rsid w:val="00D412AD"/>
    <w:rsid w:val="00D413D2"/>
    <w:rsid w:val="00D4179B"/>
    <w:rsid w:val="00D418B9"/>
    <w:rsid w:val="00D429AE"/>
    <w:rsid w:val="00D42BA3"/>
    <w:rsid w:val="00D43436"/>
    <w:rsid w:val="00D44789"/>
    <w:rsid w:val="00D44EF1"/>
    <w:rsid w:val="00D4530A"/>
    <w:rsid w:val="00D458F7"/>
    <w:rsid w:val="00D45AF5"/>
    <w:rsid w:val="00D45B9C"/>
    <w:rsid w:val="00D45C16"/>
    <w:rsid w:val="00D466C1"/>
    <w:rsid w:val="00D466C3"/>
    <w:rsid w:val="00D46A12"/>
    <w:rsid w:val="00D46C4D"/>
    <w:rsid w:val="00D473B1"/>
    <w:rsid w:val="00D4754A"/>
    <w:rsid w:val="00D4758C"/>
    <w:rsid w:val="00D50371"/>
    <w:rsid w:val="00D50FD6"/>
    <w:rsid w:val="00D511A8"/>
    <w:rsid w:val="00D5210D"/>
    <w:rsid w:val="00D5213F"/>
    <w:rsid w:val="00D52219"/>
    <w:rsid w:val="00D52313"/>
    <w:rsid w:val="00D52352"/>
    <w:rsid w:val="00D52524"/>
    <w:rsid w:val="00D52DD7"/>
    <w:rsid w:val="00D53526"/>
    <w:rsid w:val="00D53E9C"/>
    <w:rsid w:val="00D53FA6"/>
    <w:rsid w:val="00D542E5"/>
    <w:rsid w:val="00D5467C"/>
    <w:rsid w:val="00D54CA5"/>
    <w:rsid w:val="00D5511F"/>
    <w:rsid w:val="00D55CE9"/>
    <w:rsid w:val="00D55ED3"/>
    <w:rsid w:val="00D568FC"/>
    <w:rsid w:val="00D56E9B"/>
    <w:rsid w:val="00D572F0"/>
    <w:rsid w:val="00D6021F"/>
    <w:rsid w:val="00D61425"/>
    <w:rsid w:val="00D6236F"/>
    <w:rsid w:val="00D624DB"/>
    <w:rsid w:val="00D626AF"/>
    <w:rsid w:val="00D626CB"/>
    <w:rsid w:val="00D63A4E"/>
    <w:rsid w:val="00D646C1"/>
    <w:rsid w:val="00D64B03"/>
    <w:rsid w:val="00D64D82"/>
    <w:rsid w:val="00D64F70"/>
    <w:rsid w:val="00D6542A"/>
    <w:rsid w:val="00D654EF"/>
    <w:rsid w:val="00D66AB9"/>
    <w:rsid w:val="00D66E78"/>
    <w:rsid w:val="00D66E9C"/>
    <w:rsid w:val="00D67BCC"/>
    <w:rsid w:val="00D67C55"/>
    <w:rsid w:val="00D67D14"/>
    <w:rsid w:val="00D70136"/>
    <w:rsid w:val="00D70BB9"/>
    <w:rsid w:val="00D70E6E"/>
    <w:rsid w:val="00D70FD0"/>
    <w:rsid w:val="00D71566"/>
    <w:rsid w:val="00D71A8D"/>
    <w:rsid w:val="00D71D72"/>
    <w:rsid w:val="00D71F1D"/>
    <w:rsid w:val="00D72307"/>
    <w:rsid w:val="00D72578"/>
    <w:rsid w:val="00D72827"/>
    <w:rsid w:val="00D72961"/>
    <w:rsid w:val="00D72B66"/>
    <w:rsid w:val="00D72FC5"/>
    <w:rsid w:val="00D73791"/>
    <w:rsid w:val="00D73F2F"/>
    <w:rsid w:val="00D74A42"/>
    <w:rsid w:val="00D756CC"/>
    <w:rsid w:val="00D7576C"/>
    <w:rsid w:val="00D761AE"/>
    <w:rsid w:val="00D76400"/>
    <w:rsid w:val="00D766C0"/>
    <w:rsid w:val="00D76898"/>
    <w:rsid w:val="00D768B3"/>
    <w:rsid w:val="00D7704F"/>
    <w:rsid w:val="00D770E9"/>
    <w:rsid w:val="00D7716D"/>
    <w:rsid w:val="00D7753D"/>
    <w:rsid w:val="00D77F7C"/>
    <w:rsid w:val="00D80A33"/>
    <w:rsid w:val="00D81502"/>
    <w:rsid w:val="00D818B2"/>
    <w:rsid w:val="00D81E94"/>
    <w:rsid w:val="00D81F49"/>
    <w:rsid w:val="00D8211C"/>
    <w:rsid w:val="00D82384"/>
    <w:rsid w:val="00D827F8"/>
    <w:rsid w:val="00D82A90"/>
    <w:rsid w:val="00D82EEF"/>
    <w:rsid w:val="00D83865"/>
    <w:rsid w:val="00D8456B"/>
    <w:rsid w:val="00D84A80"/>
    <w:rsid w:val="00D84EBF"/>
    <w:rsid w:val="00D8536F"/>
    <w:rsid w:val="00D8547A"/>
    <w:rsid w:val="00D855A9"/>
    <w:rsid w:val="00D8566C"/>
    <w:rsid w:val="00D86485"/>
    <w:rsid w:val="00D86622"/>
    <w:rsid w:val="00D87EC3"/>
    <w:rsid w:val="00D90D41"/>
    <w:rsid w:val="00D90DE8"/>
    <w:rsid w:val="00D90FFE"/>
    <w:rsid w:val="00D912BE"/>
    <w:rsid w:val="00D912D4"/>
    <w:rsid w:val="00D91F42"/>
    <w:rsid w:val="00D92233"/>
    <w:rsid w:val="00D929D4"/>
    <w:rsid w:val="00D92A89"/>
    <w:rsid w:val="00D92D24"/>
    <w:rsid w:val="00D93586"/>
    <w:rsid w:val="00D93C7E"/>
    <w:rsid w:val="00D93F2D"/>
    <w:rsid w:val="00D955CD"/>
    <w:rsid w:val="00D95ED0"/>
    <w:rsid w:val="00D95F9F"/>
    <w:rsid w:val="00D96494"/>
    <w:rsid w:val="00D96D74"/>
    <w:rsid w:val="00D96D9B"/>
    <w:rsid w:val="00D96ECD"/>
    <w:rsid w:val="00D97161"/>
    <w:rsid w:val="00D973CE"/>
    <w:rsid w:val="00D97D1C"/>
    <w:rsid w:val="00D97E20"/>
    <w:rsid w:val="00DA0529"/>
    <w:rsid w:val="00DA0CC1"/>
    <w:rsid w:val="00DA1B65"/>
    <w:rsid w:val="00DA1C45"/>
    <w:rsid w:val="00DA2B07"/>
    <w:rsid w:val="00DA2D58"/>
    <w:rsid w:val="00DA373A"/>
    <w:rsid w:val="00DA3989"/>
    <w:rsid w:val="00DA3A58"/>
    <w:rsid w:val="00DA3EB8"/>
    <w:rsid w:val="00DA4120"/>
    <w:rsid w:val="00DA41EC"/>
    <w:rsid w:val="00DA4DCC"/>
    <w:rsid w:val="00DA56D6"/>
    <w:rsid w:val="00DA5B5D"/>
    <w:rsid w:val="00DA6564"/>
    <w:rsid w:val="00DA67BE"/>
    <w:rsid w:val="00DA6EA7"/>
    <w:rsid w:val="00DA70E2"/>
    <w:rsid w:val="00DA768F"/>
    <w:rsid w:val="00DA791F"/>
    <w:rsid w:val="00DA7D0E"/>
    <w:rsid w:val="00DB044A"/>
    <w:rsid w:val="00DB06E6"/>
    <w:rsid w:val="00DB0B9E"/>
    <w:rsid w:val="00DB0F5B"/>
    <w:rsid w:val="00DB215A"/>
    <w:rsid w:val="00DB2744"/>
    <w:rsid w:val="00DB2AD3"/>
    <w:rsid w:val="00DB3B26"/>
    <w:rsid w:val="00DB3BD7"/>
    <w:rsid w:val="00DB4028"/>
    <w:rsid w:val="00DB42A6"/>
    <w:rsid w:val="00DB4B1F"/>
    <w:rsid w:val="00DB4CFB"/>
    <w:rsid w:val="00DB4D92"/>
    <w:rsid w:val="00DB52AB"/>
    <w:rsid w:val="00DB53BD"/>
    <w:rsid w:val="00DB550C"/>
    <w:rsid w:val="00DB5AE7"/>
    <w:rsid w:val="00DB5C5D"/>
    <w:rsid w:val="00DB5DB1"/>
    <w:rsid w:val="00DB60AB"/>
    <w:rsid w:val="00DB6516"/>
    <w:rsid w:val="00DB6F85"/>
    <w:rsid w:val="00DB7941"/>
    <w:rsid w:val="00DC0328"/>
    <w:rsid w:val="00DC098A"/>
    <w:rsid w:val="00DC0F4B"/>
    <w:rsid w:val="00DC1428"/>
    <w:rsid w:val="00DC2050"/>
    <w:rsid w:val="00DC21D6"/>
    <w:rsid w:val="00DC272D"/>
    <w:rsid w:val="00DC2B08"/>
    <w:rsid w:val="00DC2D52"/>
    <w:rsid w:val="00DC2EB9"/>
    <w:rsid w:val="00DC3359"/>
    <w:rsid w:val="00DC336F"/>
    <w:rsid w:val="00DC3BCB"/>
    <w:rsid w:val="00DC4305"/>
    <w:rsid w:val="00DC46C6"/>
    <w:rsid w:val="00DC5497"/>
    <w:rsid w:val="00DC69FC"/>
    <w:rsid w:val="00DD0D09"/>
    <w:rsid w:val="00DD1852"/>
    <w:rsid w:val="00DD2084"/>
    <w:rsid w:val="00DD24DB"/>
    <w:rsid w:val="00DD28B7"/>
    <w:rsid w:val="00DD297B"/>
    <w:rsid w:val="00DD2A83"/>
    <w:rsid w:val="00DD36C5"/>
    <w:rsid w:val="00DD3986"/>
    <w:rsid w:val="00DD3C91"/>
    <w:rsid w:val="00DD3FF7"/>
    <w:rsid w:val="00DD44A5"/>
    <w:rsid w:val="00DD4652"/>
    <w:rsid w:val="00DD4C75"/>
    <w:rsid w:val="00DD52AE"/>
    <w:rsid w:val="00DD55BA"/>
    <w:rsid w:val="00DD66AC"/>
    <w:rsid w:val="00DD66B5"/>
    <w:rsid w:val="00DD6CBD"/>
    <w:rsid w:val="00DD7572"/>
    <w:rsid w:val="00DD7E5B"/>
    <w:rsid w:val="00DD7EC1"/>
    <w:rsid w:val="00DE00AE"/>
    <w:rsid w:val="00DE02AD"/>
    <w:rsid w:val="00DE09FE"/>
    <w:rsid w:val="00DE1521"/>
    <w:rsid w:val="00DE1549"/>
    <w:rsid w:val="00DE169F"/>
    <w:rsid w:val="00DE1D6D"/>
    <w:rsid w:val="00DE24FB"/>
    <w:rsid w:val="00DE3048"/>
    <w:rsid w:val="00DE4717"/>
    <w:rsid w:val="00DE520F"/>
    <w:rsid w:val="00DE5E66"/>
    <w:rsid w:val="00DE660F"/>
    <w:rsid w:val="00DE66D0"/>
    <w:rsid w:val="00DE6C4A"/>
    <w:rsid w:val="00DE6DAF"/>
    <w:rsid w:val="00DE729F"/>
    <w:rsid w:val="00DE7478"/>
    <w:rsid w:val="00DE75F2"/>
    <w:rsid w:val="00DE7700"/>
    <w:rsid w:val="00DE7E51"/>
    <w:rsid w:val="00DF03B7"/>
    <w:rsid w:val="00DF0BC3"/>
    <w:rsid w:val="00DF10E1"/>
    <w:rsid w:val="00DF1181"/>
    <w:rsid w:val="00DF1E45"/>
    <w:rsid w:val="00DF2439"/>
    <w:rsid w:val="00DF2C37"/>
    <w:rsid w:val="00DF2F23"/>
    <w:rsid w:val="00DF3176"/>
    <w:rsid w:val="00DF320E"/>
    <w:rsid w:val="00DF3311"/>
    <w:rsid w:val="00DF3E49"/>
    <w:rsid w:val="00DF4257"/>
    <w:rsid w:val="00DF4618"/>
    <w:rsid w:val="00DF4857"/>
    <w:rsid w:val="00DF4E80"/>
    <w:rsid w:val="00DF5587"/>
    <w:rsid w:val="00DF5EEB"/>
    <w:rsid w:val="00DF6787"/>
    <w:rsid w:val="00DF7109"/>
    <w:rsid w:val="00DF7357"/>
    <w:rsid w:val="00DF7934"/>
    <w:rsid w:val="00E016DB"/>
    <w:rsid w:val="00E0242B"/>
    <w:rsid w:val="00E02468"/>
    <w:rsid w:val="00E0285A"/>
    <w:rsid w:val="00E02C01"/>
    <w:rsid w:val="00E03334"/>
    <w:rsid w:val="00E038B6"/>
    <w:rsid w:val="00E04366"/>
    <w:rsid w:val="00E048C3"/>
    <w:rsid w:val="00E04F03"/>
    <w:rsid w:val="00E04F1B"/>
    <w:rsid w:val="00E05019"/>
    <w:rsid w:val="00E05A91"/>
    <w:rsid w:val="00E07856"/>
    <w:rsid w:val="00E07B84"/>
    <w:rsid w:val="00E07C6F"/>
    <w:rsid w:val="00E1039F"/>
    <w:rsid w:val="00E10C2C"/>
    <w:rsid w:val="00E11811"/>
    <w:rsid w:val="00E11EC1"/>
    <w:rsid w:val="00E11EEB"/>
    <w:rsid w:val="00E120B5"/>
    <w:rsid w:val="00E12439"/>
    <w:rsid w:val="00E12C1B"/>
    <w:rsid w:val="00E12CFF"/>
    <w:rsid w:val="00E13E76"/>
    <w:rsid w:val="00E13F49"/>
    <w:rsid w:val="00E1408B"/>
    <w:rsid w:val="00E14306"/>
    <w:rsid w:val="00E1555B"/>
    <w:rsid w:val="00E160D7"/>
    <w:rsid w:val="00E167AA"/>
    <w:rsid w:val="00E176C3"/>
    <w:rsid w:val="00E17A4B"/>
    <w:rsid w:val="00E17EAF"/>
    <w:rsid w:val="00E20101"/>
    <w:rsid w:val="00E2013A"/>
    <w:rsid w:val="00E202B7"/>
    <w:rsid w:val="00E20BFC"/>
    <w:rsid w:val="00E20DD6"/>
    <w:rsid w:val="00E20E3B"/>
    <w:rsid w:val="00E22314"/>
    <w:rsid w:val="00E22D2B"/>
    <w:rsid w:val="00E240E1"/>
    <w:rsid w:val="00E24A9A"/>
    <w:rsid w:val="00E24DB8"/>
    <w:rsid w:val="00E2501D"/>
    <w:rsid w:val="00E25AB9"/>
    <w:rsid w:val="00E25EB1"/>
    <w:rsid w:val="00E25F46"/>
    <w:rsid w:val="00E2659C"/>
    <w:rsid w:val="00E26B43"/>
    <w:rsid w:val="00E26BB5"/>
    <w:rsid w:val="00E26EBF"/>
    <w:rsid w:val="00E27771"/>
    <w:rsid w:val="00E302F5"/>
    <w:rsid w:val="00E3037A"/>
    <w:rsid w:val="00E30FEB"/>
    <w:rsid w:val="00E319B4"/>
    <w:rsid w:val="00E31EFA"/>
    <w:rsid w:val="00E31FE3"/>
    <w:rsid w:val="00E32397"/>
    <w:rsid w:val="00E32885"/>
    <w:rsid w:val="00E32CDE"/>
    <w:rsid w:val="00E332E6"/>
    <w:rsid w:val="00E33D14"/>
    <w:rsid w:val="00E3452B"/>
    <w:rsid w:val="00E348D4"/>
    <w:rsid w:val="00E34E5E"/>
    <w:rsid w:val="00E355D4"/>
    <w:rsid w:val="00E35946"/>
    <w:rsid w:val="00E35C59"/>
    <w:rsid w:val="00E362E6"/>
    <w:rsid w:val="00E36832"/>
    <w:rsid w:val="00E36880"/>
    <w:rsid w:val="00E376A2"/>
    <w:rsid w:val="00E37CEA"/>
    <w:rsid w:val="00E37E03"/>
    <w:rsid w:val="00E4024A"/>
    <w:rsid w:val="00E41457"/>
    <w:rsid w:val="00E4150E"/>
    <w:rsid w:val="00E41A1A"/>
    <w:rsid w:val="00E41C3E"/>
    <w:rsid w:val="00E41D7A"/>
    <w:rsid w:val="00E42642"/>
    <w:rsid w:val="00E4272B"/>
    <w:rsid w:val="00E4332D"/>
    <w:rsid w:val="00E4372C"/>
    <w:rsid w:val="00E43752"/>
    <w:rsid w:val="00E43945"/>
    <w:rsid w:val="00E43C1B"/>
    <w:rsid w:val="00E4429F"/>
    <w:rsid w:val="00E44EDD"/>
    <w:rsid w:val="00E4509C"/>
    <w:rsid w:val="00E45A0E"/>
    <w:rsid w:val="00E45EC6"/>
    <w:rsid w:val="00E46120"/>
    <w:rsid w:val="00E466BF"/>
    <w:rsid w:val="00E46964"/>
    <w:rsid w:val="00E469D6"/>
    <w:rsid w:val="00E46AD8"/>
    <w:rsid w:val="00E472DE"/>
    <w:rsid w:val="00E508C4"/>
    <w:rsid w:val="00E50ACD"/>
    <w:rsid w:val="00E51452"/>
    <w:rsid w:val="00E519B8"/>
    <w:rsid w:val="00E522DE"/>
    <w:rsid w:val="00E526F8"/>
    <w:rsid w:val="00E53002"/>
    <w:rsid w:val="00E5332F"/>
    <w:rsid w:val="00E5375E"/>
    <w:rsid w:val="00E54689"/>
    <w:rsid w:val="00E54792"/>
    <w:rsid w:val="00E54E91"/>
    <w:rsid w:val="00E5547D"/>
    <w:rsid w:val="00E55DA7"/>
    <w:rsid w:val="00E56248"/>
    <w:rsid w:val="00E564A7"/>
    <w:rsid w:val="00E56A42"/>
    <w:rsid w:val="00E5734F"/>
    <w:rsid w:val="00E574F0"/>
    <w:rsid w:val="00E5759A"/>
    <w:rsid w:val="00E57846"/>
    <w:rsid w:val="00E57A3F"/>
    <w:rsid w:val="00E57AA1"/>
    <w:rsid w:val="00E6004B"/>
    <w:rsid w:val="00E6025D"/>
    <w:rsid w:val="00E60796"/>
    <w:rsid w:val="00E60A20"/>
    <w:rsid w:val="00E60B3C"/>
    <w:rsid w:val="00E60D0E"/>
    <w:rsid w:val="00E611D3"/>
    <w:rsid w:val="00E62289"/>
    <w:rsid w:val="00E6285A"/>
    <w:rsid w:val="00E62AEE"/>
    <w:rsid w:val="00E62BED"/>
    <w:rsid w:val="00E6304A"/>
    <w:rsid w:val="00E64482"/>
    <w:rsid w:val="00E651B8"/>
    <w:rsid w:val="00E662E4"/>
    <w:rsid w:val="00E669F0"/>
    <w:rsid w:val="00E66A93"/>
    <w:rsid w:val="00E672C8"/>
    <w:rsid w:val="00E673D6"/>
    <w:rsid w:val="00E678A6"/>
    <w:rsid w:val="00E702DF"/>
    <w:rsid w:val="00E703A9"/>
    <w:rsid w:val="00E71B4D"/>
    <w:rsid w:val="00E71DDD"/>
    <w:rsid w:val="00E72812"/>
    <w:rsid w:val="00E72BF8"/>
    <w:rsid w:val="00E72E7D"/>
    <w:rsid w:val="00E73358"/>
    <w:rsid w:val="00E75390"/>
    <w:rsid w:val="00E7562B"/>
    <w:rsid w:val="00E75A40"/>
    <w:rsid w:val="00E75F28"/>
    <w:rsid w:val="00E76488"/>
    <w:rsid w:val="00E772E7"/>
    <w:rsid w:val="00E777D4"/>
    <w:rsid w:val="00E777DE"/>
    <w:rsid w:val="00E80024"/>
    <w:rsid w:val="00E81016"/>
    <w:rsid w:val="00E81724"/>
    <w:rsid w:val="00E818B3"/>
    <w:rsid w:val="00E81DFF"/>
    <w:rsid w:val="00E81F1D"/>
    <w:rsid w:val="00E8218D"/>
    <w:rsid w:val="00E82A0A"/>
    <w:rsid w:val="00E83517"/>
    <w:rsid w:val="00E83986"/>
    <w:rsid w:val="00E83CD1"/>
    <w:rsid w:val="00E84346"/>
    <w:rsid w:val="00E84D03"/>
    <w:rsid w:val="00E8543D"/>
    <w:rsid w:val="00E858C3"/>
    <w:rsid w:val="00E86027"/>
    <w:rsid w:val="00E861A2"/>
    <w:rsid w:val="00E87548"/>
    <w:rsid w:val="00E87C2E"/>
    <w:rsid w:val="00E87D6C"/>
    <w:rsid w:val="00E903BA"/>
    <w:rsid w:val="00E9072C"/>
    <w:rsid w:val="00E90A40"/>
    <w:rsid w:val="00E91A2E"/>
    <w:rsid w:val="00E9208F"/>
    <w:rsid w:val="00E92179"/>
    <w:rsid w:val="00E9285E"/>
    <w:rsid w:val="00E946E6"/>
    <w:rsid w:val="00E9499E"/>
    <w:rsid w:val="00E9582C"/>
    <w:rsid w:val="00E95BE4"/>
    <w:rsid w:val="00E9658B"/>
    <w:rsid w:val="00E96AD6"/>
    <w:rsid w:val="00EA0893"/>
    <w:rsid w:val="00EA0A8C"/>
    <w:rsid w:val="00EA1E73"/>
    <w:rsid w:val="00EA2E34"/>
    <w:rsid w:val="00EA2F01"/>
    <w:rsid w:val="00EA3273"/>
    <w:rsid w:val="00EA3736"/>
    <w:rsid w:val="00EA4154"/>
    <w:rsid w:val="00EA4732"/>
    <w:rsid w:val="00EA49D7"/>
    <w:rsid w:val="00EA4FDC"/>
    <w:rsid w:val="00EA5C46"/>
    <w:rsid w:val="00EA5C4B"/>
    <w:rsid w:val="00EA6437"/>
    <w:rsid w:val="00EA6477"/>
    <w:rsid w:val="00EA6559"/>
    <w:rsid w:val="00EA68C8"/>
    <w:rsid w:val="00EA69A4"/>
    <w:rsid w:val="00EA79AA"/>
    <w:rsid w:val="00EA7B98"/>
    <w:rsid w:val="00EB02CB"/>
    <w:rsid w:val="00EB0731"/>
    <w:rsid w:val="00EB0EB2"/>
    <w:rsid w:val="00EB14A5"/>
    <w:rsid w:val="00EB15EE"/>
    <w:rsid w:val="00EB203D"/>
    <w:rsid w:val="00EB2050"/>
    <w:rsid w:val="00EB3560"/>
    <w:rsid w:val="00EB3985"/>
    <w:rsid w:val="00EB50D4"/>
    <w:rsid w:val="00EB5200"/>
    <w:rsid w:val="00EB53EB"/>
    <w:rsid w:val="00EB54BD"/>
    <w:rsid w:val="00EB60E0"/>
    <w:rsid w:val="00EB6320"/>
    <w:rsid w:val="00EB6C23"/>
    <w:rsid w:val="00EB70BD"/>
    <w:rsid w:val="00EB7649"/>
    <w:rsid w:val="00EB767E"/>
    <w:rsid w:val="00EB7902"/>
    <w:rsid w:val="00EB7B26"/>
    <w:rsid w:val="00EB7CA9"/>
    <w:rsid w:val="00EC01C3"/>
    <w:rsid w:val="00EC041E"/>
    <w:rsid w:val="00EC0BF3"/>
    <w:rsid w:val="00EC1D89"/>
    <w:rsid w:val="00EC1D95"/>
    <w:rsid w:val="00EC20CD"/>
    <w:rsid w:val="00EC220F"/>
    <w:rsid w:val="00EC269E"/>
    <w:rsid w:val="00EC29E6"/>
    <w:rsid w:val="00EC2DBE"/>
    <w:rsid w:val="00EC3829"/>
    <w:rsid w:val="00EC4083"/>
    <w:rsid w:val="00EC54EE"/>
    <w:rsid w:val="00EC642C"/>
    <w:rsid w:val="00EC698A"/>
    <w:rsid w:val="00EC7138"/>
    <w:rsid w:val="00EC7476"/>
    <w:rsid w:val="00EC76B6"/>
    <w:rsid w:val="00ED00F7"/>
    <w:rsid w:val="00ED10A5"/>
    <w:rsid w:val="00ED156A"/>
    <w:rsid w:val="00ED1D30"/>
    <w:rsid w:val="00ED2864"/>
    <w:rsid w:val="00ED2DCB"/>
    <w:rsid w:val="00ED2EF1"/>
    <w:rsid w:val="00ED324D"/>
    <w:rsid w:val="00ED39CF"/>
    <w:rsid w:val="00ED3BFE"/>
    <w:rsid w:val="00ED5025"/>
    <w:rsid w:val="00ED54CB"/>
    <w:rsid w:val="00ED54E8"/>
    <w:rsid w:val="00ED55CD"/>
    <w:rsid w:val="00ED5A10"/>
    <w:rsid w:val="00ED5D91"/>
    <w:rsid w:val="00ED6002"/>
    <w:rsid w:val="00ED63CA"/>
    <w:rsid w:val="00ED6B9A"/>
    <w:rsid w:val="00ED6C6B"/>
    <w:rsid w:val="00ED730C"/>
    <w:rsid w:val="00ED769D"/>
    <w:rsid w:val="00EE0680"/>
    <w:rsid w:val="00EE0803"/>
    <w:rsid w:val="00EE099F"/>
    <w:rsid w:val="00EE09FD"/>
    <w:rsid w:val="00EE0CA1"/>
    <w:rsid w:val="00EE0F8E"/>
    <w:rsid w:val="00EE1104"/>
    <w:rsid w:val="00EE1302"/>
    <w:rsid w:val="00EE130D"/>
    <w:rsid w:val="00EE1767"/>
    <w:rsid w:val="00EE18B1"/>
    <w:rsid w:val="00EE1AA8"/>
    <w:rsid w:val="00EE1DE4"/>
    <w:rsid w:val="00EE1DE5"/>
    <w:rsid w:val="00EE2560"/>
    <w:rsid w:val="00EE28CC"/>
    <w:rsid w:val="00EE2F68"/>
    <w:rsid w:val="00EE3565"/>
    <w:rsid w:val="00EE45FB"/>
    <w:rsid w:val="00EE47C2"/>
    <w:rsid w:val="00EE4AAA"/>
    <w:rsid w:val="00EE4DB2"/>
    <w:rsid w:val="00EE55D5"/>
    <w:rsid w:val="00EE567B"/>
    <w:rsid w:val="00EE62AF"/>
    <w:rsid w:val="00EE7BA6"/>
    <w:rsid w:val="00EF0250"/>
    <w:rsid w:val="00EF0449"/>
    <w:rsid w:val="00EF07E6"/>
    <w:rsid w:val="00EF0D20"/>
    <w:rsid w:val="00EF1C8D"/>
    <w:rsid w:val="00EF23BD"/>
    <w:rsid w:val="00EF2806"/>
    <w:rsid w:val="00EF29DB"/>
    <w:rsid w:val="00EF2A6E"/>
    <w:rsid w:val="00EF2CAC"/>
    <w:rsid w:val="00EF308C"/>
    <w:rsid w:val="00EF4202"/>
    <w:rsid w:val="00EF482F"/>
    <w:rsid w:val="00EF49E6"/>
    <w:rsid w:val="00EF4C9E"/>
    <w:rsid w:val="00EF559C"/>
    <w:rsid w:val="00EF5683"/>
    <w:rsid w:val="00EF5783"/>
    <w:rsid w:val="00EF585E"/>
    <w:rsid w:val="00EF6193"/>
    <w:rsid w:val="00EF64EF"/>
    <w:rsid w:val="00EF66F7"/>
    <w:rsid w:val="00EF6790"/>
    <w:rsid w:val="00EF70D1"/>
    <w:rsid w:val="00EF7CC2"/>
    <w:rsid w:val="00EF7EB7"/>
    <w:rsid w:val="00F00519"/>
    <w:rsid w:val="00F00801"/>
    <w:rsid w:val="00F00DE8"/>
    <w:rsid w:val="00F01E19"/>
    <w:rsid w:val="00F029AD"/>
    <w:rsid w:val="00F02A2C"/>
    <w:rsid w:val="00F02A3C"/>
    <w:rsid w:val="00F02D85"/>
    <w:rsid w:val="00F03872"/>
    <w:rsid w:val="00F03E74"/>
    <w:rsid w:val="00F03EA4"/>
    <w:rsid w:val="00F04137"/>
    <w:rsid w:val="00F04668"/>
    <w:rsid w:val="00F04A7A"/>
    <w:rsid w:val="00F04B4F"/>
    <w:rsid w:val="00F05466"/>
    <w:rsid w:val="00F05544"/>
    <w:rsid w:val="00F05BB4"/>
    <w:rsid w:val="00F05BC1"/>
    <w:rsid w:val="00F06563"/>
    <w:rsid w:val="00F0702F"/>
    <w:rsid w:val="00F0726D"/>
    <w:rsid w:val="00F073AB"/>
    <w:rsid w:val="00F07481"/>
    <w:rsid w:val="00F106A3"/>
    <w:rsid w:val="00F10795"/>
    <w:rsid w:val="00F1106B"/>
    <w:rsid w:val="00F1148E"/>
    <w:rsid w:val="00F116CB"/>
    <w:rsid w:val="00F11F37"/>
    <w:rsid w:val="00F124CB"/>
    <w:rsid w:val="00F127EC"/>
    <w:rsid w:val="00F12A6C"/>
    <w:rsid w:val="00F13052"/>
    <w:rsid w:val="00F137F1"/>
    <w:rsid w:val="00F1406D"/>
    <w:rsid w:val="00F14ACD"/>
    <w:rsid w:val="00F14F5D"/>
    <w:rsid w:val="00F15D12"/>
    <w:rsid w:val="00F16D6C"/>
    <w:rsid w:val="00F17B16"/>
    <w:rsid w:val="00F20E25"/>
    <w:rsid w:val="00F21521"/>
    <w:rsid w:val="00F21AD6"/>
    <w:rsid w:val="00F2247F"/>
    <w:rsid w:val="00F2250F"/>
    <w:rsid w:val="00F23C36"/>
    <w:rsid w:val="00F23CE8"/>
    <w:rsid w:val="00F24902"/>
    <w:rsid w:val="00F24A6C"/>
    <w:rsid w:val="00F25168"/>
    <w:rsid w:val="00F269B7"/>
    <w:rsid w:val="00F26A7B"/>
    <w:rsid w:val="00F272B1"/>
    <w:rsid w:val="00F276AF"/>
    <w:rsid w:val="00F279AB"/>
    <w:rsid w:val="00F3028B"/>
    <w:rsid w:val="00F304D1"/>
    <w:rsid w:val="00F30A11"/>
    <w:rsid w:val="00F319B2"/>
    <w:rsid w:val="00F319D4"/>
    <w:rsid w:val="00F31C47"/>
    <w:rsid w:val="00F32438"/>
    <w:rsid w:val="00F32671"/>
    <w:rsid w:val="00F3323F"/>
    <w:rsid w:val="00F3381D"/>
    <w:rsid w:val="00F33A42"/>
    <w:rsid w:val="00F33F00"/>
    <w:rsid w:val="00F33FF9"/>
    <w:rsid w:val="00F34162"/>
    <w:rsid w:val="00F34285"/>
    <w:rsid w:val="00F34AAF"/>
    <w:rsid w:val="00F34C64"/>
    <w:rsid w:val="00F34CEB"/>
    <w:rsid w:val="00F34DDB"/>
    <w:rsid w:val="00F3569A"/>
    <w:rsid w:val="00F3580C"/>
    <w:rsid w:val="00F35AF3"/>
    <w:rsid w:val="00F35F2A"/>
    <w:rsid w:val="00F3679B"/>
    <w:rsid w:val="00F36E9D"/>
    <w:rsid w:val="00F36EFD"/>
    <w:rsid w:val="00F37A4C"/>
    <w:rsid w:val="00F40249"/>
    <w:rsid w:val="00F40F0E"/>
    <w:rsid w:val="00F4121A"/>
    <w:rsid w:val="00F41300"/>
    <w:rsid w:val="00F414CC"/>
    <w:rsid w:val="00F41712"/>
    <w:rsid w:val="00F4186C"/>
    <w:rsid w:val="00F4276E"/>
    <w:rsid w:val="00F43BEE"/>
    <w:rsid w:val="00F44124"/>
    <w:rsid w:val="00F44BDC"/>
    <w:rsid w:val="00F4633F"/>
    <w:rsid w:val="00F4674F"/>
    <w:rsid w:val="00F473C2"/>
    <w:rsid w:val="00F47F5A"/>
    <w:rsid w:val="00F501D8"/>
    <w:rsid w:val="00F503B1"/>
    <w:rsid w:val="00F5079C"/>
    <w:rsid w:val="00F50F1C"/>
    <w:rsid w:val="00F513AD"/>
    <w:rsid w:val="00F51972"/>
    <w:rsid w:val="00F51A5A"/>
    <w:rsid w:val="00F51B98"/>
    <w:rsid w:val="00F51E47"/>
    <w:rsid w:val="00F52518"/>
    <w:rsid w:val="00F5287A"/>
    <w:rsid w:val="00F53284"/>
    <w:rsid w:val="00F5359B"/>
    <w:rsid w:val="00F53680"/>
    <w:rsid w:val="00F53C1D"/>
    <w:rsid w:val="00F554EA"/>
    <w:rsid w:val="00F55E0A"/>
    <w:rsid w:val="00F562B2"/>
    <w:rsid w:val="00F57D0C"/>
    <w:rsid w:val="00F57F24"/>
    <w:rsid w:val="00F601B3"/>
    <w:rsid w:val="00F608E2"/>
    <w:rsid w:val="00F608FD"/>
    <w:rsid w:val="00F60E11"/>
    <w:rsid w:val="00F61B26"/>
    <w:rsid w:val="00F6224F"/>
    <w:rsid w:val="00F62D68"/>
    <w:rsid w:val="00F62E53"/>
    <w:rsid w:val="00F6391E"/>
    <w:rsid w:val="00F64193"/>
    <w:rsid w:val="00F64497"/>
    <w:rsid w:val="00F64936"/>
    <w:rsid w:val="00F65A59"/>
    <w:rsid w:val="00F65B00"/>
    <w:rsid w:val="00F65B6C"/>
    <w:rsid w:val="00F65BC7"/>
    <w:rsid w:val="00F65F3E"/>
    <w:rsid w:val="00F66035"/>
    <w:rsid w:val="00F6622E"/>
    <w:rsid w:val="00F668DA"/>
    <w:rsid w:val="00F66C20"/>
    <w:rsid w:val="00F66C29"/>
    <w:rsid w:val="00F674BC"/>
    <w:rsid w:val="00F67665"/>
    <w:rsid w:val="00F6797D"/>
    <w:rsid w:val="00F7050F"/>
    <w:rsid w:val="00F709B8"/>
    <w:rsid w:val="00F70C0F"/>
    <w:rsid w:val="00F70C94"/>
    <w:rsid w:val="00F7128A"/>
    <w:rsid w:val="00F719B7"/>
    <w:rsid w:val="00F7296B"/>
    <w:rsid w:val="00F72D45"/>
    <w:rsid w:val="00F72D73"/>
    <w:rsid w:val="00F73339"/>
    <w:rsid w:val="00F7358F"/>
    <w:rsid w:val="00F73D2E"/>
    <w:rsid w:val="00F7423C"/>
    <w:rsid w:val="00F7441F"/>
    <w:rsid w:val="00F7453D"/>
    <w:rsid w:val="00F74F54"/>
    <w:rsid w:val="00F754CC"/>
    <w:rsid w:val="00F75712"/>
    <w:rsid w:val="00F75C56"/>
    <w:rsid w:val="00F761BE"/>
    <w:rsid w:val="00F768A3"/>
    <w:rsid w:val="00F770FF"/>
    <w:rsid w:val="00F773E4"/>
    <w:rsid w:val="00F80EC3"/>
    <w:rsid w:val="00F81172"/>
    <w:rsid w:val="00F8121E"/>
    <w:rsid w:val="00F81303"/>
    <w:rsid w:val="00F81387"/>
    <w:rsid w:val="00F8207D"/>
    <w:rsid w:val="00F8227A"/>
    <w:rsid w:val="00F82376"/>
    <w:rsid w:val="00F82EF7"/>
    <w:rsid w:val="00F83C7F"/>
    <w:rsid w:val="00F83FC3"/>
    <w:rsid w:val="00F84AB1"/>
    <w:rsid w:val="00F84D19"/>
    <w:rsid w:val="00F851AB"/>
    <w:rsid w:val="00F8545B"/>
    <w:rsid w:val="00F85991"/>
    <w:rsid w:val="00F85A53"/>
    <w:rsid w:val="00F85A78"/>
    <w:rsid w:val="00F85B75"/>
    <w:rsid w:val="00F85B9E"/>
    <w:rsid w:val="00F85BBD"/>
    <w:rsid w:val="00F85E37"/>
    <w:rsid w:val="00F865D9"/>
    <w:rsid w:val="00F86EB4"/>
    <w:rsid w:val="00F87A52"/>
    <w:rsid w:val="00F90C4E"/>
    <w:rsid w:val="00F90D93"/>
    <w:rsid w:val="00F91985"/>
    <w:rsid w:val="00F9229A"/>
    <w:rsid w:val="00F92D9E"/>
    <w:rsid w:val="00F92FCB"/>
    <w:rsid w:val="00F93EBA"/>
    <w:rsid w:val="00F94025"/>
    <w:rsid w:val="00F94217"/>
    <w:rsid w:val="00F94A2D"/>
    <w:rsid w:val="00F95152"/>
    <w:rsid w:val="00F95333"/>
    <w:rsid w:val="00F95782"/>
    <w:rsid w:val="00F95E8E"/>
    <w:rsid w:val="00F9620D"/>
    <w:rsid w:val="00F96428"/>
    <w:rsid w:val="00FA0C2B"/>
    <w:rsid w:val="00FA10E5"/>
    <w:rsid w:val="00FA19F8"/>
    <w:rsid w:val="00FA211A"/>
    <w:rsid w:val="00FA2750"/>
    <w:rsid w:val="00FA27C1"/>
    <w:rsid w:val="00FA2816"/>
    <w:rsid w:val="00FA2D7F"/>
    <w:rsid w:val="00FA3C0F"/>
    <w:rsid w:val="00FA3DCD"/>
    <w:rsid w:val="00FA4015"/>
    <w:rsid w:val="00FA45DC"/>
    <w:rsid w:val="00FA4963"/>
    <w:rsid w:val="00FA4FE5"/>
    <w:rsid w:val="00FA521B"/>
    <w:rsid w:val="00FA5AF4"/>
    <w:rsid w:val="00FA5F3D"/>
    <w:rsid w:val="00FA6249"/>
    <w:rsid w:val="00FA683C"/>
    <w:rsid w:val="00FA6C29"/>
    <w:rsid w:val="00FA723B"/>
    <w:rsid w:val="00FA72B6"/>
    <w:rsid w:val="00FB0BB7"/>
    <w:rsid w:val="00FB0ED0"/>
    <w:rsid w:val="00FB138C"/>
    <w:rsid w:val="00FB144A"/>
    <w:rsid w:val="00FB2F63"/>
    <w:rsid w:val="00FB30CD"/>
    <w:rsid w:val="00FB326C"/>
    <w:rsid w:val="00FB3A36"/>
    <w:rsid w:val="00FB3B86"/>
    <w:rsid w:val="00FB3C57"/>
    <w:rsid w:val="00FB452C"/>
    <w:rsid w:val="00FB4D2C"/>
    <w:rsid w:val="00FB534C"/>
    <w:rsid w:val="00FB5AE7"/>
    <w:rsid w:val="00FB6F5B"/>
    <w:rsid w:val="00FB73DA"/>
    <w:rsid w:val="00FB749C"/>
    <w:rsid w:val="00FB7581"/>
    <w:rsid w:val="00FB76B0"/>
    <w:rsid w:val="00FB7822"/>
    <w:rsid w:val="00FB7C84"/>
    <w:rsid w:val="00FB7D26"/>
    <w:rsid w:val="00FC0400"/>
    <w:rsid w:val="00FC0401"/>
    <w:rsid w:val="00FC15AD"/>
    <w:rsid w:val="00FC183A"/>
    <w:rsid w:val="00FC2077"/>
    <w:rsid w:val="00FC2379"/>
    <w:rsid w:val="00FC293A"/>
    <w:rsid w:val="00FC2A1B"/>
    <w:rsid w:val="00FC38B4"/>
    <w:rsid w:val="00FC39D3"/>
    <w:rsid w:val="00FC44A8"/>
    <w:rsid w:val="00FC4AEA"/>
    <w:rsid w:val="00FC4F82"/>
    <w:rsid w:val="00FC52C5"/>
    <w:rsid w:val="00FC54CE"/>
    <w:rsid w:val="00FC576B"/>
    <w:rsid w:val="00FC5BFE"/>
    <w:rsid w:val="00FC5E7D"/>
    <w:rsid w:val="00FC60DF"/>
    <w:rsid w:val="00FC613D"/>
    <w:rsid w:val="00FD09F7"/>
    <w:rsid w:val="00FD0FE8"/>
    <w:rsid w:val="00FD106D"/>
    <w:rsid w:val="00FD11D6"/>
    <w:rsid w:val="00FD1405"/>
    <w:rsid w:val="00FD14F5"/>
    <w:rsid w:val="00FD176F"/>
    <w:rsid w:val="00FD2169"/>
    <w:rsid w:val="00FD2303"/>
    <w:rsid w:val="00FD237E"/>
    <w:rsid w:val="00FD3422"/>
    <w:rsid w:val="00FD38E9"/>
    <w:rsid w:val="00FD3955"/>
    <w:rsid w:val="00FD4847"/>
    <w:rsid w:val="00FD4A91"/>
    <w:rsid w:val="00FD4FFF"/>
    <w:rsid w:val="00FD521D"/>
    <w:rsid w:val="00FD531F"/>
    <w:rsid w:val="00FD583E"/>
    <w:rsid w:val="00FD65D8"/>
    <w:rsid w:val="00FD6CBF"/>
    <w:rsid w:val="00FD7126"/>
    <w:rsid w:val="00FD7967"/>
    <w:rsid w:val="00FD79AD"/>
    <w:rsid w:val="00FD7B64"/>
    <w:rsid w:val="00FD7D5E"/>
    <w:rsid w:val="00FD7FB6"/>
    <w:rsid w:val="00FE0B84"/>
    <w:rsid w:val="00FE139C"/>
    <w:rsid w:val="00FE1693"/>
    <w:rsid w:val="00FE1CDC"/>
    <w:rsid w:val="00FE1D0E"/>
    <w:rsid w:val="00FE2A1F"/>
    <w:rsid w:val="00FE39E5"/>
    <w:rsid w:val="00FE43FC"/>
    <w:rsid w:val="00FE4411"/>
    <w:rsid w:val="00FE46E5"/>
    <w:rsid w:val="00FE46F9"/>
    <w:rsid w:val="00FE4DFC"/>
    <w:rsid w:val="00FE50DF"/>
    <w:rsid w:val="00FE60B8"/>
    <w:rsid w:val="00FE61E6"/>
    <w:rsid w:val="00FE67F2"/>
    <w:rsid w:val="00FE6ADE"/>
    <w:rsid w:val="00FE6ED3"/>
    <w:rsid w:val="00FE71DD"/>
    <w:rsid w:val="00FF010E"/>
    <w:rsid w:val="00FF0D24"/>
    <w:rsid w:val="00FF1149"/>
    <w:rsid w:val="00FF1699"/>
    <w:rsid w:val="00FF1D31"/>
    <w:rsid w:val="00FF2012"/>
    <w:rsid w:val="00FF24D4"/>
    <w:rsid w:val="00FF2595"/>
    <w:rsid w:val="00FF283C"/>
    <w:rsid w:val="00FF2A8E"/>
    <w:rsid w:val="00FF34A4"/>
    <w:rsid w:val="00FF4CF9"/>
    <w:rsid w:val="00FF520D"/>
    <w:rsid w:val="00FF57A8"/>
    <w:rsid w:val="00FF5A86"/>
    <w:rsid w:val="00FF63E7"/>
    <w:rsid w:val="00FF644D"/>
    <w:rsid w:val="00FF6B75"/>
    <w:rsid w:val="00FF6BEB"/>
    <w:rsid w:val="00FF7BB6"/>
    <w:rsid w:val="00FF7F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6298EE"/>
  <w15:docId w15:val="{30BB9765-D402-4FB0-A21D-586CBCEF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70BB9"/>
    <w:pPr>
      <w:suppressAutoHyphens/>
      <w:autoSpaceDN w:val="0"/>
      <w:spacing w:line="249" w:lineRule="auto"/>
      <w:textAlignment w:val="baseline"/>
    </w:pPr>
    <w:rPr>
      <w:rFonts w:ascii="Calibri" w:eastAsia="Calibri" w:hAnsi="Calibri" w:cs="Times New Roman"/>
      <w:lang w:val="cs-CZ"/>
    </w:rPr>
  </w:style>
  <w:style w:type="paragraph" w:styleId="Nadpis1">
    <w:name w:val="heading 1"/>
    <w:basedOn w:val="Normln"/>
    <w:link w:val="Nadpis1Char"/>
    <w:uiPriority w:val="9"/>
    <w:qFormat/>
    <w:rsid w:val="001E0FDC"/>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A56B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6746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955CD"/>
    <w:rPr>
      <w:color w:val="0563C1" w:themeColor="hyperlink"/>
      <w:u w:val="single"/>
    </w:rPr>
  </w:style>
  <w:style w:type="character" w:styleId="Nevyeenzmnka">
    <w:name w:val="Unresolved Mention"/>
    <w:basedOn w:val="Standardnpsmoodstavce"/>
    <w:uiPriority w:val="99"/>
    <w:semiHidden/>
    <w:unhideWhenUsed/>
    <w:rsid w:val="00D955CD"/>
    <w:rPr>
      <w:color w:val="605E5C"/>
      <w:shd w:val="clear" w:color="auto" w:fill="E1DFDD"/>
    </w:rPr>
  </w:style>
  <w:style w:type="paragraph" w:styleId="Odstavecseseznamem">
    <w:name w:val="List Paragraph"/>
    <w:basedOn w:val="Normln"/>
    <w:uiPriority w:val="34"/>
    <w:qFormat/>
    <w:rsid w:val="001A208C"/>
    <w:pPr>
      <w:ind w:left="720"/>
      <w:contextualSpacing/>
    </w:pPr>
  </w:style>
  <w:style w:type="character" w:styleId="Sledovanodkaz">
    <w:name w:val="FollowedHyperlink"/>
    <w:basedOn w:val="Standardnpsmoodstavce"/>
    <w:uiPriority w:val="99"/>
    <w:semiHidden/>
    <w:unhideWhenUsed/>
    <w:rsid w:val="002E0B24"/>
    <w:rPr>
      <w:color w:val="954F72" w:themeColor="followedHyperlink"/>
      <w:u w:val="single"/>
    </w:rPr>
  </w:style>
  <w:style w:type="paragraph" w:styleId="Normlnweb">
    <w:name w:val="Normal (Web)"/>
    <w:basedOn w:val="Normln"/>
    <w:uiPriority w:val="99"/>
    <w:rsid w:val="00EF4C9E"/>
    <w:pPr>
      <w:spacing w:before="100" w:after="100" w:line="240" w:lineRule="auto"/>
    </w:pPr>
    <w:rPr>
      <w:rFonts w:ascii="Times New Roman" w:eastAsia="Times New Roman" w:hAnsi="Times New Roman"/>
      <w:sz w:val="24"/>
      <w:szCs w:val="24"/>
      <w:lang w:eastAsia="cs-CZ"/>
    </w:rPr>
  </w:style>
  <w:style w:type="paragraph" w:customStyle="1" w:styleId="c01pointnumerotealtn">
    <w:name w:val="c01pointnumerotealtn"/>
    <w:basedOn w:val="Normln"/>
    <w:rsid w:val="0020076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paragraph" w:styleId="Revize">
    <w:name w:val="Revision"/>
    <w:hidden/>
    <w:uiPriority w:val="99"/>
    <w:semiHidden/>
    <w:rsid w:val="00C34E9C"/>
    <w:pPr>
      <w:spacing w:after="0" w:line="240" w:lineRule="auto"/>
    </w:pPr>
    <w:rPr>
      <w:rFonts w:ascii="Calibri" w:eastAsia="Calibri" w:hAnsi="Calibri" w:cs="Times New Roman"/>
      <w:lang w:val="cs-CZ"/>
    </w:rPr>
  </w:style>
  <w:style w:type="paragraph" w:styleId="Bezmezer">
    <w:name w:val="No Spacing"/>
    <w:uiPriority w:val="1"/>
    <w:qFormat/>
    <w:rsid w:val="00A24F4E"/>
    <w:pPr>
      <w:spacing w:after="0" w:line="240" w:lineRule="auto"/>
    </w:pPr>
    <w:rPr>
      <w:lang w:val="cs-CZ"/>
    </w:rPr>
  </w:style>
  <w:style w:type="character" w:styleId="Siln">
    <w:name w:val="Strong"/>
    <w:basedOn w:val="Standardnpsmoodstavce"/>
    <w:uiPriority w:val="22"/>
    <w:qFormat/>
    <w:rsid w:val="00B3725E"/>
    <w:rPr>
      <w:b/>
      <w:bCs/>
    </w:rPr>
  </w:style>
  <w:style w:type="character" w:customStyle="1" w:styleId="s68f5eaef">
    <w:name w:val="s68f5eaef"/>
    <w:basedOn w:val="Standardnpsmoodstavce"/>
    <w:rsid w:val="006D6B87"/>
  </w:style>
  <w:style w:type="paragraph" w:customStyle="1" w:styleId="sb30271fd">
    <w:name w:val="sb30271fd"/>
    <w:basedOn w:val="Normln"/>
    <w:rsid w:val="006D6B8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Nadpis1Char">
    <w:name w:val="Nadpis 1 Char"/>
    <w:basedOn w:val="Standardnpsmoodstavce"/>
    <w:link w:val="Nadpis1"/>
    <w:uiPriority w:val="9"/>
    <w:rsid w:val="001E0FDC"/>
    <w:rPr>
      <w:rFonts w:ascii="Times New Roman" w:eastAsia="Times New Roman" w:hAnsi="Times New Roman" w:cs="Times New Roman"/>
      <w:b/>
      <w:bCs/>
      <w:kern w:val="36"/>
      <w:sz w:val="48"/>
      <w:szCs w:val="48"/>
      <w:lang w:val="cs-CZ" w:eastAsia="cs-CZ"/>
    </w:rPr>
  </w:style>
  <w:style w:type="character" w:customStyle="1" w:styleId="Nadpis3Char">
    <w:name w:val="Nadpis 3 Char"/>
    <w:basedOn w:val="Standardnpsmoodstavce"/>
    <w:link w:val="Nadpis3"/>
    <w:uiPriority w:val="9"/>
    <w:semiHidden/>
    <w:rsid w:val="00674659"/>
    <w:rPr>
      <w:rFonts w:asciiTheme="majorHAnsi" w:eastAsiaTheme="majorEastAsia" w:hAnsiTheme="majorHAnsi" w:cstheme="majorBidi"/>
      <w:color w:val="1F3763" w:themeColor="accent1" w:themeShade="7F"/>
      <w:sz w:val="24"/>
      <w:szCs w:val="24"/>
      <w:lang w:val="cs-CZ"/>
    </w:rPr>
  </w:style>
  <w:style w:type="character" w:customStyle="1" w:styleId="Nadpis2Char">
    <w:name w:val="Nadpis 2 Char"/>
    <w:basedOn w:val="Standardnpsmoodstavce"/>
    <w:link w:val="Nadpis2"/>
    <w:uiPriority w:val="9"/>
    <w:rsid w:val="00A56BDD"/>
    <w:rPr>
      <w:rFonts w:asciiTheme="majorHAnsi" w:eastAsiaTheme="majorEastAsia" w:hAnsiTheme="majorHAnsi" w:cstheme="majorBidi"/>
      <w:color w:val="2F5496" w:themeColor="accent1" w:themeShade="BF"/>
      <w:sz w:val="26"/>
      <w:szCs w:val="26"/>
      <w:lang w:val="cs-CZ"/>
    </w:rPr>
  </w:style>
  <w:style w:type="character" w:styleId="CittHTML">
    <w:name w:val="HTML Cite"/>
    <w:basedOn w:val="Standardnpsmoodstavce"/>
    <w:uiPriority w:val="99"/>
    <w:semiHidden/>
    <w:unhideWhenUsed/>
    <w:rsid w:val="00FA211A"/>
    <w:rPr>
      <w:i/>
      <w:iCs/>
    </w:rPr>
  </w:style>
  <w:style w:type="paragraph" w:customStyle="1" w:styleId="xmsonormal">
    <w:name w:val="x_msonormal"/>
    <w:basedOn w:val="Normln"/>
    <w:rsid w:val="00D5221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paragraph" w:customStyle="1" w:styleId="rtejustify">
    <w:name w:val="rtejustify"/>
    <w:basedOn w:val="Normln"/>
    <w:rsid w:val="005619D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paragraph" w:customStyle="1" w:styleId="s10950c61">
    <w:name w:val="s10950c61"/>
    <w:basedOn w:val="Normln"/>
    <w:rsid w:val="00E4509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sbb9ee52a">
    <w:name w:val="sbb9ee52a"/>
    <w:basedOn w:val="Standardnpsmoodstavce"/>
    <w:rsid w:val="00E4509C"/>
  </w:style>
  <w:style w:type="paragraph" w:customStyle="1" w:styleId="se485344b">
    <w:name w:val="se485344b"/>
    <w:basedOn w:val="Normln"/>
    <w:rsid w:val="00E4509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sfbc99493">
    <w:name w:val="sfbc99493"/>
    <w:basedOn w:val="Standardnpsmoodstavce"/>
    <w:rsid w:val="00E4509C"/>
  </w:style>
  <w:style w:type="character" w:customStyle="1" w:styleId="sa36b60a1">
    <w:name w:val="sa36b60a1"/>
    <w:basedOn w:val="Standardnpsmoodstavce"/>
    <w:rsid w:val="00E4509C"/>
  </w:style>
  <w:style w:type="paragraph" w:customStyle="1" w:styleId="sab51c47c">
    <w:name w:val="sab51c47c"/>
    <w:basedOn w:val="Normln"/>
    <w:rsid w:val="00E4509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paragraph" w:customStyle="1" w:styleId="s7483bb9d">
    <w:name w:val="s7483bb9d"/>
    <w:basedOn w:val="Normln"/>
    <w:rsid w:val="003A251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sa32501c8">
    <w:name w:val="sa32501c8"/>
    <w:basedOn w:val="Standardnpsmoodstavce"/>
    <w:rsid w:val="003A2515"/>
  </w:style>
  <w:style w:type="paragraph" w:customStyle="1" w:styleId="s9d48dd53">
    <w:name w:val="s9d48dd53"/>
    <w:basedOn w:val="Normln"/>
    <w:rsid w:val="003A251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styleId="Zdraznn">
    <w:name w:val="Emphasis"/>
    <w:basedOn w:val="Standardnpsmoodstavce"/>
    <w:uiPriority w:val="20"/>
    <w:qFormat/>
    <w:rsid w:val="00F81303"/>
    <w:rPr>
      <w:i/>
      <w:iCs/>
    </w:rPr>
  </w:style>
  <w:style w:type="paragraph" w:customStyle="1" w:styleId="intro-perex">
    <w:name w:val="intro-perex"/>
    <w:basedOn w:val="Normln"/>
    <w:rsid w:val="006A4A4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s4dda3aa3">
    <w:name w:val="s4dda3aa3"/>
    <w:basedOn w:val="Standardnpsmoodstavce"/>
    <w:rsid w:val="00205E9C"/>
  </w:style>
  <w:style w:type="paragraph" w:customStyle="1" w:styleId="JuPara">
    <w:name w:val="Ju_Para"/>
    <w:aliases w:val="_Para"/>
    <w:basedOn w:val="Normln"/>
    <w:link w:val="JuParaChar"/>
    <w:uiPriority w:val="4"/>
    <w:qFormat/>
    <w:rsid w:val="004374F2"/>
    <w:pPr>
      <w:suppressAutoHyphens w:val="0"/>
      <w:autoSpaceDN/>
      <w:spacing w:after="0" w:line="240" w:lineRule="auto"/>
      <w:ind w:firstLine="284"/>
      <w:jc w:val="both"/>
      <w:textAlignment w:val="auto"/>
    </w:pPr>
    <w:rPr>
      <w:rFonts w:asciiTheme="minorHAnsi" w:eastAsiaTheme="minorHAnsi" w:hAnsiTheme="minorHAnsi" w:cstheme="minorBidi"/>
      <w:sz w:val="24"/>
      <w:szCs w:val="24"/>
      <w:lang w:val="en-GB"/>
    </w:rPr>
  </w:style>
  <w:style w:type="character" w:customStyle="1" w:styleId="JuParaChar">
    <w:name w:val="Ju_Para Char"/>
    <w:aliases w:val="_Para Char"/>
    <w:link w:val="JuPara"/>
    <w:uiPriority w:val="4"/>
    <w:rsid w:val="004374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6350">
      <w:bodyDiv w:val="1"/>
      <w:marLeft w:val="0"/>
      <w:marRight w:val="0"/>
      <w:marTop w:val="0"/>
      <w:marBottom w:val="0"/>
      <w:divBdr>
        <w:top w:val="none" w:sz="0" w:space="0" w:color="auto"/>
        <w:left w:val="none" w:sz="0" w:space="0" w:color="auto"/>
        <w:bottom w:val="none" w:sz="0" w:space="0" w:color="auto"/>
        <w:right w:val="none" w:sz="0" w:space="0" w:color="auto"/>
      </w:divBdr>
    </w:div>
    <w:div w:id="14619844">
      <w:bodyDiv w:val="1"/>
      <w:marLeft w:val="0"/>
      <w:marRight w:val="0"/>
      <w:marTop w:val="0"/>
      <w:marBottom w:val="0"/>
      <w:divBdr>
        <w:top w:val="none" w:sz="0" w:space="0" w:color="auto"/>
        <w:left w:val="none" w:sz="0" w:space="0" w:color="auto"/>
        <w:bottom w:val="none" w:sz="0" w:space="0" w:color="auto"/>
        <w:right w:val="none" w:sz="0" w:space="0" w:color="auto"/>
      </w:divBdr>
      <w:divsChild>
        <w:div w:id="524830614">
          <w:marLeft w:val="0"/>
          <w:marRight w:val="0"/>
          <w:marTop w:val="0"/>
          <w:marBottom w:val="0"/>
          <w:divBdr>
            <w:top w:val="none" w:sz="0" w:space="0" w:color="auto"/>
            <w:left w:val="none" w:sz="0" w:space="0" w:color="auto"/>
            <w:bottom w:val="none" w:sz="0" w:space="0" w:color="auto"/>
            <w:right w:val="none" w:sz="0" w:space="0" w:color="auto"/>
          </w:divBdr>
          <w:divsChild>
            <w:div w:id="289940563">
              <w:marLeft w:val="0"/>
              <w:marRight w:val="0"/>
              <w:marTop w:val="0"/>
              <w:marBottom w:val="0"/>
              <w:divBdr>
                <w:top w:val="none" w:sz="0" w:space="0" w:color="auto"/>
                <w:left w:val="none" w:sz="0" w:space="0" w:color="auto"/>
                <w:bottom w:val="none" w:sz="0" w:space="0" w:color="auto"/>
                <w:right w:val="none" w:sz="0" w:space="0" w:color="auto"/>
              </w:divBdr>
              <w:divsChild>
                <w:div w:id="13156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697">
          <w:marLeft w:val="0"/>
          <w:marRight w:val="0"/>
          <w:marTop w:val="0"/>
          <w:marBottom w:val="0"/>
          <w:divBdr>
            <w:top w:val="none" w:sz="0" w:space="0" w:color="auto"/>
            <w:left w:val="none" w:sz="0" w:space="0" w:color="auto"/>
            <w:bottom w:val="none" w:sz="0" w:space="0" w:color="auto"/>
            <w:right w:val="none" w:sz="0" w:space="0" w:color="auto"/>
          </w:divBdr>
          <w:divsChild>
            <w:div w:id="211313427">
              <w:marLeft w:val="0"/>
              <w:marRight w:val="0"/>
              <w:marTop w:val="0"/>
              <w:marBottom w:val="0"/>
              <w:divBdr>
                <w:top w:val="none" w:sz="0" w:space="0" w:color="auto"/>
                <w:left w:val="none" w:sz="0" w:space="0" w:color="auto"/>
                <w:bottom w:val="none" w:sz="0" w:space="0" w:color="auto"/>
                <w:right w:val="none" w:sz="0" w:space="0" w:color="auto"/>
              </w:divBdr>
              <w:divsChild>
                <w:div w:id="17362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2769">
      <w:bodyDiv w:val="1"/>
      <w:marLeft w:val="0"/>
      <w:marRight w:val="0"/>
      <w:marTop w:val="0"/>
      <w:marBottom w:val="0"/>
      <w:divBdr>
        <w:top w:val="none" w:sz="0" w:space="0" w:color="auto"/>
        <w:left w:val="none" w:sz="0" w:space="0" w:color="auto"/>
        <w:bottom w:val="none" w:sz="0" w:space="0" w:color="auto"/>
        <w:right w:val="none" w:sz="0" w:space="0" w:color="auto"/>
      </w:divBdr>
    </w:div>
    <w:div w:id="25916111">
      <w:bodyDiv w:val="1"/>
      <w:marLeft w:val="0"/>
      <w:marRight w:val="0"/>
      <w:marTop w:val="0"/>
      <w:marBottom w:val="0"/>
      <w:divBdr>
        <w:top w:val="none" w:sz="0" w:space="0" w:color="auto"/>
        <w:left w:val="none" w:sz="0" w:space="0" w:color="auto"/>
        <w:bottom w:val="none" w:sz="0" w:space="0" w:color="auto"/>
        <w:right w:val="none" w:sz="0" w:space="0" w:color="auto"/>
      </w:divBdr>
    </w:div>
    <w:div w:id="32731390">
      <w:bodyDiv w:val="1"/>
      <w:marLeft w:val="0"/>
      <w:marRight w:val="0"/>
      <w:marTop w:val="0"/>
      <w:marBottom w:val="0"/>
      <w:divBdr>
        <w:top w:val="none" w:sz="0" w:space="0" w:color="auto"/>
        <w:left w:val="none" w:sz="0" w:space="0" w:color="auto"/>
        <w:bottom w:val="none" w:sz="0" w:space="0" w:color="auto"/>
        <w:right w:val="none" w:sz="0" w:space="0" w:color="auto"/>
      </w:divBdr>
    </w:div>
    <w:div w:id="45032053">
      <w:bodyDiv w:val="1"/>
      <w:marLeft w:val="0"/>
      <w:marRight w:val="0"/>
      <w:marTop w:val="0"/>
      <w:marBottom w:val="0"/>
      <w:divBdr>
        <w:top w:val="none" w:sz="0" w:space="0" w:color="auto"/>
        <w:left w:val="none" w:sz="0" w:space="0" w:color="auto"/>
        <w:bottom w:val="none" w:sz="0" w:space="0" w:color="auto"/>
        <w:right w:val="none" w:sz="0" w:space="0" w:color="auto"/>
      </w:divBdr>
    </w:div>
    <w:div w:id="54282088">
      <w:bodyDiv w:val="1"/>
      <w:marLeft w:val="0"/>
      <w:marRight w:val="0"/>
      <w:marTop w:val="0"/>
      <w:marBottom w:val="0"/>
      <w:divBdr>
        <w:top w:val="none" w:sz="0" w:space="0" w:color="auto"/>
        <w:left w:val="none" w:sz="0" w:space="0" w:color="auto"/>
        <w:bottom w:val="none" w:sz="0" w:space="0" w:color="auto"/>
        <w:right w:val="none" w:sz="0" w:space="0" w:color="auto"/>
      </w:divBdr>
    </w:div>
    <w:div w:id="54284720">
      <w:bodyDiv w:val="1"/>
      <w:marLeft w:val="0"/>
      <w:marRight w:val="0"/>
      <w:marTop w:val="0"/>
      <w:marBottom w:val="0"/>
      <w:divBdr>
        <w:top w:val="none" w:sz="0" w:space="0" w:color="auto"/>
        <w:left w:val="none" w:sz="0" w:space="0" w:color="auto"/>
        <w:bottom w:val="none" w:sz="0" w:space="0" w:color="auto"/>
        <w:right w:val="none" w:sz="0" w:space="0" w:color="auto"/>
      </w:divBdr>
    </w:div>
    <w:div w:id="54397971">
      <w:bodyDiv w:val="1"/>
      <w:marLeft w:val="0"/>
      <w:marRight w:val="0"/>
      <w:marTop w:val="0"/>
      <w:marBottom w:val="0"/>
      <w:divBdr>
        <w:top w:val="none" w:sz="0" w:space="0" w:color="auto"/>
        <w:left w:val="none" w:sz="0" w:space="0" w:color="auto"/>
        <w:bottom w:val="none" w:sz="0" w:space="0" w:color="auto"/>
        <w:right w:val="none" w:sz="0" w:space="0" w:color="auto"/>
      </w:divBdr>
      <w:divsChild>
        <w:div w:id="907761282">
          <w:marLeft w:val="0"/>
          <w:marRight w:val="0"/>
          <w:marTop w:val="0"/>
          <w:marBottom w:val="0"/>
          <w:divBdr>
            <w:top w:val="none" w:sz="0" w:space="0" w:color="auto"/>
            <w:left w:val="none" w:sz="0" w:space="0" w:color="auto"/>
            <w:bottom w:val="none" w:sz="0" w:space="0" w:color="auto"/>
            <w:right w:val="none" w:sz="0" w:space="0" w:color="auto"/>
          </w:divBdr>
        </w:div>
        <w:div w:id="1630891254">
          <w:marLeft w:val="0"/>
          <w:marRight w:val="0"/>
          <w:marTop w:val="0"/>
          <w:marBottom w:val="0"/>
          <w:divBdr>
            <w:top w:val="none" w:sz="0" w:space="0" w:color="auto"/>
            <w:left w:val="none" w:sz="0" w:space="0" w:color="auto"/>
            <w:bottom w:val="none" w:sz="0" w:space="0" w:color="auto"/>
            <w:right w:val="none" w:sz="0" w:space="0" w:color="auto"/>
          </w:divBdr>
        </w:div>
        <w:div w:id="749501829">
          <w:marLeft w:val="0"/>
          <w:marRight w:val="0"/>
          <w:marTop w:val="0"/>
          <w:marBottom w:val="0"/>
          <w:divBdr>
            <w:top w:val="none" w:sz="0" w:space="0" w:color="auto"/>
            <w:left w:val="none" w:sz="0" w:space="0" w:color="auto"/>
            <w:bottom w:val="none" w:sz="0" w:space="0" w:color="auto"/>
            <w:right w:val="none" w:sz="0" w:space="0" w:color="auto"/>
          </w:divBdr>
          <w:divsChild>
            <w:div w:id="943271470">
              <w:marLeft w:val="0"/>
              <w:marRight w:val="0"/>
              <w:marTop w:val="0"/>
              <w:marBottom w:val="0"/>
              <w:divBdr>
                <w:top w:val="none" w:sz="0" w:space="0" w:color="auto"/>
                <w:left w:val="none" w:sz="0" w:space="0" w:color="auto"/>
                <w:bottom w:val="none" w:sz="0" w:space="0" w:color="auto"/>
                <w:right w:val="none" w:sz="0" w:space="0" w:color="auto"/>
              </w:divBdr>
              <w:divsChild>
                <w:div w:id="8814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9641">
      <w:bodyDiv w:val="1"/>
      <w:marLeft w:val="0"/>
      <w:marRight w:val="0"/>
      <w:marTop w:val="0"/>
      <w:marBottom w:val="0"/>
      <w:divBdr>
        <w:top w:val="none" w:sz="0" w:space="0" w:color="auto"/>
        <w:left w:val="none" w:sz="0" w:space="0" w:color="auto"/>
        <w:bottom w:val="none" w:sz="0" w:space="0" w:color="auto"/>
        <w:right w:val="none" w:sz="0" w:space="0" w:color="auto"/>
      </w:divBdr>
    </w:div>
    <w:div w:id="78867960">
      <w:bodyDiv w:val="1"/>
      <w:marLeft w:val="0"/>
      <w:marRight w:val="0"/>
      <w:marTop w:val="0"/>
      <w:marBottom w:val="0"/>
      <w:divBdr>
        <w:top w:val="none" w:sz="0" w:space="0" w:color="auto"/>
        <w:left w:val="none" w:sz="0" w:space="0" w:color="auto"/>
        <w:bottom w:val="none" w:sz="0" w:space="0" w:color="auto"/>
        <w:right w:val="none" w:sz="0" w:space="0" w:color="auto"/>
      </w:divBdr>
    </w:div>
    <w:div w:id="79304086">
      <w:bodyDiv w:val="1"/>
      <w:marLeft w:val="0"/>
      <w:marRight w:val="0"/>
      <w:marTop w:val="0"/>
      <w:marBottom w:val="0"/>
      <w:divBdr>
        <w:top w:val="none" w:sz="0" w:space="0" w:color="auto"/>
        <w:left w:val="none" w:sz="0" w:space="0" w:color="auto"/>
        <w:bottom w:val="none" w:sz="0" w:space="0" w:color="auto"/>
        <w:right w:val="none" w:sz="0" w:space="0" w:color="auto"/>
      </w:divBdr>
    </w:div>
    <w:div w:id="88357053">
      <w:bodyDiv w:val="1"/>
      <w:marLeft w:val="0"/>
      <w:marRight w:val="0"/>
      <w:marTop w:val="0"/>
      <w:marBottom w:val="0"/>
      <w:divBdr>
        <w:top w:val="none" w:sz="0" w:space="0" w:color="auto"/>
        <w:left w:val="none" w:sz="0" w:space="0" w:color="auto"/>
        <w:bottom w:val="none" w:sz="0" w:space="0" w:color="auto"/>
        <w:right w:val="none" w:sz="0" w:space="0" w:color="auto"/>
      </w:divBdr>
    </w:div>
    <w:div w:id="88546632">
      <w:bodyDiv w:val="1"/>
      <w:marLeft w:val="0"/>
      <w:marRight w:val="0"/>
      <w:marTop w:val="0"/>
      <w:marBottom w:val="0"/>
      <w:divBdr>
        <w:top w:val="none" w:sz="0" w:space="0" w:color="auto"/>
        <w:left w:val="none" w:sz="0" w:space="0" w:color="auto"/>
        <w:bottom w:val="none" w:sz="0" w:space="0" w:color="auto"/>
        <w:right w:val="none" w:sz="0" w:space="0" w:color="auto"/>
      </w:divBdr>
    </w:div>
    <w:div w:id="90396066">
      <w:bodyDiv w:val="1"/>
      <w:marLeft w:val="0"/>
      <w:marRight w:val="0"/>
      <w:marTop w:val="0"/>
      <w:marBottom w:val="0"/>
      <w:divBdr>
        <w:top w:val="none" w:sz="0" w:space="0" w:color="auto"/>
        <w:left w:val="none" w:sz="0" w:space="0" w:color="auto"/>
        <w:bottom w:val="none" w:sz="0" w:space="0" w:color="auto"/>
        <w:right w:val="none" w:sz="0" w:space="0" w:color="auto"/>
      </w:divBdr>
    </w:div>
    <w:div w:id="94985154">
      <w:bodyDiv w:val="1"/>
      <w:marLeft w:val="0"/>
      <w:marRight w:val="0"/>
      <w:marTop w:val="0"/>
      <w:marBottom w:val="0"/>
      <w:divBdr>
        <w:top w:val="none" w:sz="0" w:space="0" w:color="auto"/>
        <w:left w:val="none" w:sz="0" w:space="0" w:color="auto"/>
        <w:bottom w:val="none" w:sz="0" w:space="0" w:color="auto"/>
        <w:right w:val="none" w:sz="0" w:space="0" w:color="auto"/>
      </w:divBdr>
    </w:div>
    <w:div w:id="118308253">
      <w:bodyDiv w:val="1"/>
      <w:marLeft w:val="0"/>
      <w:marRight w:val="0"/>
      <w:marTop w:val="0"/>
      <w:marBottom w:val="0"/>
      <w:divBdr>
        <w:top w:val="none" w:sz="0" w:space="0" w:color="auto"/>
        <w:left w:val="none" w:sz="0" w:space="0" w:color="auto"/>
        <w:bottom w:val="none" w:sz="0" w:space="0" w:color="auto"/>
        <w:right w:val="none" w:sz="0" w:space="0" w:color="auto"/>
      </w:divBdr>
    </w:div>
    <w:div w:id="122846023">
      <w:bodyDiv w:val="1"/>
      <w:marLeft w:val="0"/>
      <w:marRight w:val="0"/>
      <w:marTop w:val="0"/>
      <w:marBottom w:val="0"/>
      <w:divBdr>
        <w:top w:val="none" w:sz="0" w:space="0" w:color="auto"/>
        <w:left w:val="none" w:sz="0" w:space="0" w:color="auto"/>
        <w:bottom w:val="none" w:sz="0" w:space="0" w:color="auto"/>
        <w:right w:val="none" w:sz="0" w:space="0" w:color="auto"/>
      </w:divBdr>
    </w:div>
    <w:div w:id="124663704">
      <w:bodyDiv w:val="1"/>
      <w:marLeft w:val="0"/>
      <w:marRight w:val="0"/>
      <w:marTop w:val="0"/>
      <w:marBottom w:val="0"/>
      <w:divBdr>
        <w:top w:val="none" w:sz="0" w:space="0" w:color="auto"/>
        <w:left w:val="none" w:sz="0" w:space="0" w:color="auto"/>
        <w:bottom w:val="none" w:sz="0" w:space="0" w:color="auto"/>
        <w:right w:val="none" w:sz="0" w:space="0" w:color="auto"/>
      </w:divBdr>
      <w:divsChild>
        <w:div w:id="797919562">
          <w:marLeft w:val="0"/>
          <w:marRight w:val="0"/>
          <w:marTop w:val="0"/>
          <w:marBottom w:val="0"/>
          <w:divBdr>
            <w:top w:val="none" w:sz="0" w:space="0" w:color="auto"/>
            <w:left w:val="none" w:sz="0" w:space="0" w:color="auto"/>
            <w:bottom w:val="none" w:sz="0" w:space="0" w:color="auto"/>
            <w:right w:val="none" w:sz="0" w:space="0" w:color="auto"/>
          </w:divBdr>
        </w:div>
      </w:divsChild>
    </w:div>
    <w:div w:id="125048782">
      <w:bodyDiv w:val="1"/>
      <w:marLeft w:val="0"/>
      <w:marRight w:val="0"/>
      <w:marTop w:val="0"/>
      <w:marBottom w:val="0"/>
      <w:divBdr>
        <w:top w:val="none" w:sz="0" w:space="0" w:color="auto"/>
        <w:left w:val="none" w:sz="0" w:space="0" w:color="auto"/>
        <w:bottom w:val="none" w:sz="0" w:space="0" w:color="auto"/>
        <w:right w:val="none" w:sz="0" w:space="0" w:color="auto"/>
      </w:divBdr>
    </w:div>
    <w:div w:id="126901197">
      <w:bodyDiv w:val="1"/>
      <w:marLeft w:val="0"/>
      <w:marRight w:val="0"/>
      <w:marTop w:val="0"/>
      <w:marBottom w:val="0"/>
      <w:divBdr>
        <w:top w:val="none" w:sz="0" w:space="0" w:color="auto"/>
        <w:left w:val="none" w:sz="0" w:space="0" w:color="auto"/>
        <w:bottom w:val="none" w:sz="0" w:space="0" w:color="auto"/>
        <w:right w:val="none" w:sz="0" w:space="0" w:color="auto"/>
      </w:divBdr>
    </w:div>
    <w:div w:id="130634418">
      <w:bodyDiv w:val="1"/>
      <w:marLeft w:val="0"/>
      <w:marRight w:val="0"/>
      <w:marTop w:val="0"/>
      <w:marBottom w:val="0"/>
      <w:divBdr>
        <w:top w:val="none" w:sz="0" w:space="0" w:color="auto"/>
        <w:left w:val="none" w:sz="0" w:space="0" w:color="auto"/>
        <w:bottom w:val="none" w:sz="0" w:space="0" w:color="auto"/>
        <w:right w:val="none" w:sz="0" w:space="0" w:color="auto"/>
      </w:divBdr>
    </w:div>
    <w:div w:id="133061863">
      <w:bodyDiv w:val="1"/>
      <w:marLeft w:val="0"/>
      <w:marRight w:val="0"/>
      <w:marTop w:val="0"/>
      <w:marBottom w:val="0"/>
      <w:divBdr>
        <w:top w:val="none" w:sz="0" w:space="0" w:color="auto"/>
        <w:left w:val="none" w:sz="0" w:space="0" w:color="auto"/>
        <w:bottom w:val="none" w:sz="0" w:space="0" w:color="auto"/>
        <w:right w:val="none" w:sz="0" w:space="0" w:color="auto"/>
      </w:divBdr>
    </w:div>
    <w:div w:id="134378408">
      <w:bodyDiv w:val="1"/>
      <w:marLeft w:val="0"/>
      <w:marRight w:val="0"/>
      <w:marTop w:val="0"/>
      <w:marBottom w:val="0"/>
      <w:divBdr>
        <w:top w:val="none" w:sz="0" w:space="0" w:color="auto"/>
        <w:left w:val="none" w:sz="0" w:space="0" w:color="auto"/>
        <w:bottom w:val="none" w:sz="0" w:space="0" w:color="auto"/>
        <w:right w:val="none" w:sz="0" w:space="0" w:color="auto"/>
      </w:divBdr>
    </w:div>
    <w:div w:id="134832074">
      <w:bodyDiv w:val="1"/>
      <w:marLeft w:val="0"/>
      <w:marRight w:val="0"/>
      <w:marTop w:val="0"/>
      <w:marBottom w:val="0"/>
      <w:divBdr>
        <w:top w:val="none" w:sz="0" w:space="0" w:color="auto"/>
        <w:left w:val="none" w:sz="0" w:space="0" w:color="auto"/>
        <w:bottom w:val="none" w:sz="0" w:space="0" w:color="auto"/>
        <w:right w:val="none" w:sz="0" w:space="0" w:color="auto"/>
      </w:divBdr>
    </w:div>
    <w:div w:id="136454406">
      <w:bodyDiv w:val="1"/>
      <w:marLeft w:val="0"/>
      <w:marRight w:val="0"/>
      <w:marTop w:val="0"/>
      <w:marBottom w:val="0"/>
      <w:divBdr>
        <w:top w:val="none" w:sz="0" w:space="0" w:color="auto"/>
        <w:left w:val="none" w:sz="0" w:space="0" w:color="auto"/>
        <w:bottom w:val="none" w:sz="0" w:space="0" w:color="auto"/>
        <w:right w:val="none" w:sz="0" w:space="0" w:color="auto"/>
      </w:divBdr>
    </w:div>
    <w:div w:id="136920765">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151991820">
      <w:bodyDiv w:val="1"/>
      <w:marLeft w:val="0"/>
      <w:marRight w:val="0"/>
      <w:marTop w:val="0"/>
      <w:marBottom w:val="0"/>
      <w:divBdr>
        <w:top w:val="none" w:sz="0" w:space="0" w:color="auto"/>
        <w:left w:val="none" w:sz="0" w:space="0" w:color="auto"/>
        <w:bottom w:val="none" w:sz="0" w:space="0" w:color="auto"/>
        <w:right w:val="none" w:sz="0" w:space="0" w:color="auto"/>
      </w:divBdr>
    </w:div>
    <w:div w:id="158620899">
      <w:bodyDiv w:val="1"/>
      <w:marLeft w:val="0"/>
      <w:marRight w:val="0"/>
      <w:marTop w:val="0"/>
      <w:marBottom w:val="0"/>
      <w:divBdr>
        <w:top w:val="none" w:sz="0" w:space="0" w:color="auto"/>
        <w:left w:val="none" w:sz="0" w:space="0" w:color="auto"/>
        <w:bottom w:val="none" w:sz="0" w:space="0" w:color="auto"/>
        <w:right w:val="none" w:sz="0" w:space="0" w:color="auto"/>
      </w:divBdr>
    </w:div>
    <w:div w:id="159463466">
      <w:bodyDiv w:val="1"/>
      <w:marLeft w:val="0"/>
      <w:marRight w:val="0"/>
      <w:marTop w:val="0"/>
      <w:marBottom w:val="0"/>
      <w:divBdr>
        <w:top w:val="none" w:sz="0" w:space="0" w:color="auto"/>
        <w:left w:val="none" w:sz="0" w:space="0" w:color="auto"/>
        <w:bottom w:val="none" w:sz="0" w:space="0" w:color="auto"/>
        <w:right w:val="none" w:sz="0" w:space="0" w:color="auto"/>
      </w:divBdr>
    </w:div>
    <w:div w:id="159927130">
      <w:bodyDiv w:val="1"/>
      <w:marLeft w:val="0"/>
      <w:marRight w:val="0"/>
      <w:marTop w:val="0"/>
      <w:marBottom w:val="0"/>
      <w:divBdr>
        <w:top w:val="none" w:sz="0" w:space="0" w:color="auto"/>
        <w:left w:val="none" w:sz="0" w:space="0" w:color="auto"/>
        <w:bottom w:val="none" w:sz="0" w:space="0" w:color="auto"/>
        <w:right w:val="none" w:sz="0" w:space="0" w:color="auto"/>
      </w:divBdr>
    </w:div>
    <w:div w:id="166871734">
      <w:bodyDiv w:val="1"/>
      <w:marLeft w:val="0"/>
      <w:marRight w:val="0"/>
      <w:marTop w:val="0"/>
      <w:marBottom w:val="0"/>
      <w:divBdr>
        <w:top w:val="none" w:sz="0" w:space="0" w:color="auto"/>
        <w:left w:val="none" w:sz="0" w:space="0" w:color="auto"/>
        <w:bottom w:val="none" w:sz="0" w:space="0" w:color="auto"/>
        <w:right w:val="none" w:sz="0" w:space="0" w:color="auto"/>
      </w:divBdr>
      <w:divsChild>
        <w:div w:id="963774645">
          <w:blockQuote w:val="1"/>
          <w:marLeft w:val="0"/>
          <w:marRight w:val="0"/>
          <w:marTop w:val="0"/>
          <w:marBottom w:val="375"/>
          <w:divBdr>
            <w:top w:val="none" w:sz="0" w:space="0" w:color="auto"/>
            <w:left w:val="none" w:sz="0" w:space="0" w:color="auto"/>
            <w:bottom w:val="none" w:sz="0" w:space="0" w:color="auto"/>
            <w:right w:val="none" w:sz="0" w:space="0" w:color="auto"/>
          </w:divBdr>
          <w:divsChild>
            <w:div w:id="415982770">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69757450">
      <w:bodyDiv w:val="1"/>
      <w:marLeft w:val="0"/>
      <w:marRight w:val="0"/>
      <w:marTop w:val="0"/>
      <w:marBottom w:val="0"/>
      <w:divBdr>
        <w:top w:val="none" w:sz="0" w:space="0" w:color="auto"/>
        <w:left w:val="none" w:sz="0" w:space="0" w:color="auto"/>
        <w:bottom w:val="none" w:sz="0" w:space="0" w:color="auto"/>
        <w:right w:val="none" w:sz="0" w:space="0" w:color="auto"/>
      </w:divBdr>
    </w:div>
    <w:div w:id="172959068">
      <w:bodyDiv w:val="1"/>
      <w:marLeft w:val="0"/>
      <w:marRight w:val="0"/>
      <w:marTop w:val="0"/>
      <w:marBottom w:val="0"/>
      <w:divBdr>
        <w:top w:val="none" w:sz="0" w:space="0" w:color="auto"/>
        <w:left w:val="none" w:sz="0" w:space="0" w:color="auto"/>
        <w:bottom w:val="none" w:sz="0" w:space="0" w:color="auto"/>
        <w:right w:val="none" w:sz="0" w:space="0" w:color="auto"/>
      </w:divBdr>
    </w:div>
    <w:div w:id="176699602">
      <w:bodyDiv w:val="1"/>
      <w:marLeft w:val="0"/>
      <w:marRight w:val="0"/>
      <w:marTop w:val="0"/>
      <w:marBottom w:val="0"/>
      <w:divBdr>
        <w:top w:val="none" w:sz="0" w:space="0" w:color="auto"/>
        <w:left w:val="none" w:sz="0" w:space="0" w:color="auto"/>
        <w:bottom w:val="none" w:sz="0" w:space="0" w:color="auto"/>
        <w:right w:val="none" w:sz="0" w:space="0" w:color="auto"/>
      </w:divBdr>
    </w:div>
    <w:div w:id="181014594">
      <w:bodyDiv w:val="1"/>
      <w:marLeft w:val="0"/>
      <w:marRight w:val="0"/>
      <w:marTop w:val="0"/>
      <w:marBottom w:val="0"/>
      <w:divBdr>
        <w:top w:val="none" w:sz="0" w:space="0" w:color="auto"/>
        <w:left w:val="none" w:sz="0" w:space="0" w:color="auto"/>
        <w:bottom w:val="none" w:sz="0" w:space="0" w:color="auto"/>
        <w:right w:val="none" w:sz="0" w:space="0" w:color="auto"/>
      </w:divBdr>
    </w:div>
    <w:div w:id="192428424">
      <w:bodyDiv w:val="1"/>
      <w:marLeft w:val="0"/>
      <w:marRight w:val="0"/>
      <w:marTop w:val="0"/>
      <w:marBottom w:val="0"/>
      <w:divBdr>
        <w:top w:val="none" w:sz="0" w:space="0" w:color="auto"/>
        <w:left w:val="none" w:sz="0" w:space="0" w:color="auto"/>
        <w:bottom w:val="none" w:sz="0" w:space="0" w:color="auto"/>
        <w:right w:val="none" w:sz="0" w:space="0" w:color="auto"/>
      </w:divBdr>
    </w:div>
    <w:div w:id="193201223">
      <w:bodyDiv w:val="1"/>
      <w:marLeft w:val="0"/>
      <w:marRight w:val="0"/>
      <w:marTop w:val="0"/>
      <w:marBottom w:val="0"/>
      <w:divBdr>
        <w:top w:val="none" w:sz="0" w:space="0" w:color="auto"/>
        <w:left w:val="none" w:sz="0" w:space="0" w:color="auto"/>
        <w:bottom w:val="none" w:sz="0" w:space="0" w:color="auto"/>
        <w:right w:val="none" w:sz="0" w:space="0" w:color="auto"/>
      </w:divBdr>
    </w:div>
    <w:div w:id="196167238">
      <w:bodyDiv w:val="1"/>
      <w:marLeft w:val="0"/>
      <w:marRight w:val="0"/>
      <w:marTop w:val="0"/>
      <w:marBottom w:val="0"/>
      <w:divBdr>
        <w:top w:val="none" w:sz="0" w:space="0" w:color="auto"/>
        <w:left w:val="none" w:sz="0" w:space="0" w:color="auto"/>
        <w:bottom w:val="none" w:sz="0" w:space="0" w:color="auto"/>
        <w:right w:val="none" w:sz="0" w:space="0" w:color="auto"/>
      </w:divBdr>
    </w:div>
    <w:div w:id="198050153">
      <w:bodyDiv w:val="1"/>
      <w:marLeft w:val="0"/>
      <w:marRight w:val="0"/>
      <w:marTop w:val="0"/>
      <w:marBottom w:val="0"/>
      <w:divBdr>
        <w:top w:val="none" w:sz="0" w:space="0" w:color="auto"/>
        <w:left w:val="none" w:sz="0" w:space="0" w:color="auto"/>
        <w:bottom w:val="none" w:sz="0" w:space="0" w:color="auto"/>
        <w:right w:val="none" w:sz="0" w:space="0" w:color="auto"/>
      </w:divBdr>
    </w:div>
    <w:div w:id="200746330">
      <w:bodyDiv w:val="1"/>
      <w:marLeft w:val="0"/>
      <w:marRight w:val="0"/>
      <w:marTop w:val="0"/>
      <w:marBottom w:val="0"/>
      <w:divBdr>
        <w:top w:val="none" w:sz="0" w:space="0" w:color="auto"/>
        <w:left w:val="none" w:sz="0" w:space="0" w:color="auto"/>
        <w:bottom w:val="none" w:sz="0" w:space="0" w:color="auto"/>
        <w:right w:val="none" w:sz="0" w:space="0" w:color="auto"/>
      </w:divBdr>
    </w:div>
    <w:div w:id="208107301">
      <w:bodyDiv w:val="1"/>
      <w:marLeft w:val="0"/>
      <w:marRight w:val="0"/>
      <w:marTop w:val="0"/>
      <w:marBottom w:val="0"/>
      <w:divBdr>
        <w:top w:val="none" w:sz="0" w:space="0" w:color="auto"/>
        <w:left w:val="none" w:sz="0" w:space="0" w:color="auto"/>
        <w:bottom w:val="none" w:sz="0" w:space="0" w:color="auto"/>
        <w:right w:val="none" w:sz="0" w:space="0" w:color="auto"/>
      </w:divBdr>
    </w:div>
    <w:div w:id="209071566">
      <w:bodyDiv w:val="1"/>
      <w:marLeft w:val="0"/>
      <w:marRight w:val="0"/>
      <w:marTop w:val="0"/>
      <w:marBottom w:val="0"/>
      <w:divBdr>
        <w:top w:val="none" w:sz="0" w:space="0" w:color="auto"/>
        <w:left w:val="none" w:sz="0" w:space="0" w:color="auto"/>
        <w:bottom w:val="none" w:sz="0" w:space="0" w:color="auto"/>
        <w:right w:val="none" w:sz="0" w:space="0" w:color="auto"/>
      </w:divBdr>
    </w:div>
    <w:div w:id="217593002">
      <w:bodyDiv w:val="1"/>
      <w:marLeft w:val="0"/>
      <w:marRight w:val="0"/>
      <w:marTop w:val="0"/>
      <w:marBottom w:val="0"/>
      <w:divBdr>
        <w:top w:val="none" w:sz="0" w:space="0" w:color="auto"/>
        <w:left w:val="none" w:sz="0" w:space="0" w:color="auto"/>
        <w:bottom w:val="none" w:sz="0" w:space="0" w:color="auto"/>
        <w:right w:val="none" w:sz="0" w:space="0" w:color="auto"/>
      </w:divBdr>
    </w:div>
    <w:div w:id="222983109">
      <w:bodyDiv w:val="1"/>
      <w:marLeft w:val="0"/>
      <w:marRight w:val="0"/>
      <w:marTop w:val="0"/>
      <w:marBottom w:val="0"/>
      <w:divBdr>
        <w:top w:val="none" w:sz="0" w:space="0" w:color="auto"/>
        <w:left w:val="none" w:sz="0" w:space="0" w:color="auto"/>
        <w:bottom w:val="none" w:sz="0" w:space="0" w:color="auto"/>
        <w:right w:val="none" w:sz="0" w:space="0" w:color="auto"/>
      </w:divBdr>
    </w:div>
    <w:div w:id="228269630">
      <w:bodyDiv w:val="1"/>
      <w:marLeft w:val="0"/>
      <w:marRight w:val="0"/>
      <w:marTop w:val="0"/>
      <w:marBottom w:val="0"/>
      <w:divBdr>
        <w:top w:val="none" w:sz="0" w:space="0" w:color="auto"/>
        <w:left w:val="none" w:sz="0" w:space="0" w:color="auto"/>
        <w:bottom w:val="none" w:sz="0" w:space="0" w:color="auto"/>
        <w:right w:val="none" w:sz="0" w:space="0" w:color="auto"/>
      </w:divBdr>
    </w:div>
    <w:div w:id="240913348">
      <w:bodyDiv w:val="1"/>
      <w:marLeft w:val="0"/>
      <w:marRight w:val="0"/>
      <w:marTop w:val="0"/>
      <w:marBottom w:val="0"/>
      <w:divBdr>
        <w:top w:val="none" w:sz="0" w:space="0" w:color="auto"/>
        <w:left w:val="none" w:sz="0" w:space="0" w:color="auto"/>
        <w:bottom w:val="none" w:sz="0" w:space="0" w:color="auto"/>
        <w:right w:val="none" w:sz="0" w:space="0" w:color="auto"/>
      </w:divBdr>
    </w:div>
    <w:div w:id="241136412">
      <w:bodyDiv w:val="1"/>
      <w:marLeft w:val="0"/>
      <w:marRight w:val="0"/>
      <w:marTop w:val="0"/>
      <w:marBottom w:val="0"/>
      <w:divBdr>
        <w:top w:val="none" w:sz="0" w:space="0" w:color="auto"/>
        <w:left w:val="none" w:sz="0" w:space="0" w:color="auto"/>
        <w:bottom w:val="none" w:sz="0" w:space="0" w:color="auto"/>
        <w:right w:val="none" w:sz="0" w:space="0" w:color="auto"/>
      </w:divBdr>
    </w:div>
    <w:div w:id="247889439">
      <w:bodyDiv w:val="1"/>
      <w:marLeft w:val="0"/>
      <w:marRight w:val="0"/>
      <w:marTop w:val="0"/>
      <w:marBottom w:val="0"/>
      <w:divBdr>
        <w:top w:val="none" w:sz="0" w:space="0" w:color="auto"/>
        <w:left w:val="none" w:sz="0" w:space="0" w:color="auto"/>
        <w:bottom w:val="none" w:sz="0" w:space="0" w:color="auto"/>
        <w:right w:val="none" w:sz="0" w:space="0" w:color="auto"/>
      </w:divBdr>
    </w:div>
    <w:div w:id="251428660">
      <w:bodyDiv w:val="1"/>
      <w:marLeft w:val="0"/>
      <w:marRight w:val="0"/>
      <w:marTop w:val="0"/>
      <w:marBottom w:val="0"/>
      <w:divBdr>
        <w:top w:val="none" w:sz="0" w:space="0" w:color="auto"/>
        <w:left w:val="none" w:sz="0" w:space="0" w:color="auto"/>
        <w:bottom w:val="none" w:sz="0" w:space="0" w:color="auto"/>
        <w:right w:val="none" w:sz="0" w:space="0" w:color="auto"/>
      </w:divBdr>
    </w:div>
    <w:div w:id="255409560">
      <w:bodyDiv w:val="1"/>
      <w:marLeft w:val="0"/>
      <w:marRight w:val="0"/>
      <w:marTop w:val="0"/>
      <w:marBottom w:val="0"/>
      <w:divBdr>
        <w:top w:val="none" w:sz="0" w:space="0" w:color="auto"/>
        <w:left w:val="none" w:sz="0" w:space="0" w:color="auto"/>
        <w:bottom w:val="none" w:sz="0" w:space="0" w:color="auto"/>
        <w:right w:val="none" w:sz="0" w:space="0" w:color="auto"/>
      </w:divBdr>
    </w:div>
    <w:div w:id="257174968">
      <w:bodyDiv w:val="1"/>
      <w:marLeft w:val="0"/>
      <w:marRight w:val="0"/>
      <w:marTop w:val="0"/>
      <w:marBottom w:val="0"/>
      <w:divBdr>
        <w:top w:val="none" w:sz="0" w:space="0" w:color="auto"/>
        <w:left w:val="none" w:sz="0" w:space="0" w:color="auto"/>
        <w:bottom w:val="none" w:sz="0" w:space="0" w:color="auto"/>
        <w:right w:val="none" w:sz="0" w:space="0" w:color="auto"/>
      </w:divBdr>
    </w:div>
    <w:div w:id="266280223">
      <w:bodyDiv w:val="1"/>
      <w:marLeft w:val="0"/>
      <w:marRight w:val="0"/>
      <w:marTop w:val="0"/>
      <w:marBottom w:val="0"/>
      <w:divBdr>
        <w:top w:val="none" w:sz="0" w:space="0" w:color="auto"/>
        <w:left w:val="none" w:sz="0" w:space="0" w:color="auto"/>
        <w:bottom w:val="none" w:sz="0" w:space="0" w:color="auto"/>
        <w:right w:val="none" w:sz="0" w:space="0" w:color="auto"/>
      </w:divBdr>
    </w:div>
    <w:div w:id="268241723">
      <w:bodyDiv w:val="1"/>
      <w:marLeft w:val="0"/>
      <w:marRight w:val="0"/>
      <w:marTop w:val="0"/>
      <w:marBottom w:val="0"/>
      <w:divBdr>
        <w:top w:val="none" w:sz="0" w:space="0" w:color="auto"/>
        <w:left w:val="none" w:sz="0" w:space="0" w:color="auto"/>
        <w:bottom w:val="none" w:sz="0" w:space="0" w:color="auto"/>
        <w:right w:val="none" w:sz="0" w:space="0" w:color="auto"/>
      </w:divBdr>
    </w:div>
    <w:div w:id="269362890">
      <w:bodyDiv w:val="1"/>
      <w:marLeft w:val="0"/>
      <w:marRight w:val="0"/>
      <w:marTop w:val="0"/>
      <w:marBottom w:val="0"/>
      <w:divBdr>
        <w:top w:val="none" w:sz="0" w:space="0" w:color="auto"/>
        <w:left w:val="none" w:sz="0" w:space="0" w:color="auto"/>
        <w:bottom w:val="none" w:sz="0" w:space="0" w:color="auto"/>
        <w:right w:val="none" w:sz="0" w:space="0" w:color="auto"/>
      </w:divBdr>
    </w:div>
    <w:div w:id="274948990">
      <w:bodyDiv w:val="1"/>
      <w:marLeft w:val="0"/>
      <w:marRight w:val="0"/>
      <w:marTop w:val="0"/>
      <w:marBottom w:val="0"/>
      <w:divBdr>
        <w:top w:val="none" w:sz="0" w:space="0" w:color="auto"/>
        <w:left w:val="none" w:sz="0" w:space="0" w:color="auto"/>
        <w:bottom w:val="none" w:sz="0" w:space="0" w:color="auto"/>
        <w:right w:val="none" w:sz="0" w:space="0" w:color="auto"/>
      </w:divBdr>
    </w:div>
    <w:div w:id="279143651">
      <w:bodyDiv w:val="1"/>
      <w:marLeft w:val="0"/>
      <w:marRight w:val="0"/>
      <w:marTop w:val="0"/>
      <w:marBottom w:val="0"/>
      <w:divBdr>
        <w:top w:val="none" w:sz="0" w:space="0" w:color="auto"/>
        <w:left w:val="none" w:sz="0" w:space="0" w:color="auto"/>
        <w:bottom w:val="none" w:sz="0" w:space="0" w:color="auto"/>
        <w:right w:val="none" w:sz="0" w:space="0" w:color="auto"/>
      </w:divBdr>
    </w:div>
    <w:div w:id="282074184">
      <w:bodyDiv w:val="1"/>
      <w:marLeft w:val="0"/>
      <w:marRight w:val="0"/>
      <w:marTop w:val="0"/>
      <w:marBottom w:val="0"/>
      <w:divBdr>
        <w:top w:val="none" w:sz="0" w:space="0" w:color="auto"/>
        <w:left w:val="none" w:sz="0" w:space="0" w:color="auto"/>
        <w:bottom w:val="none" w:sz="0" w:space="0" w:color="auto"/>
        <w:right w:val="none" w:sz="0" w:space="0" w:color="auto"/>
      </w:divBdr>
    </w:div>
    <w:div w:id="286349808">
      <w:bodyDiv w:val="1"/>
      <w:marLeft w:val="0"/>
      <w:marRight w:val="0"/>
      <w:marTop w:val="0"/>
      <w:marBottom w:val="0"/>
      <w:divBdr>
        <w:top w:val="none" w:sz="0" w:space="0" w:color="auto"/>
        <w:left w:val="none" w:sz="0" w:space="0" w:color="auto"/>
        <w:bottom w:val="none" w:sz="0" w:space="0" w:color="auto"/>
        <w:right w:val="none" w:sz="0" w:space="0" w:color="auto"/>
      </w:divBdr>
    </w:div>
    <w:div w:id="292296215">
      <w:bodyDiv w:val="1"/>
      <w:marLeft w:val="0"/>
      <w:marRight w:val="0"/>
      <w:marTop w:val="0"/>
      <w:marBottom w:val="0"/>
      <w:divBdr>
        <w:top w:val="none" w:sz="0" w:space="0" w:color="auto"/>
        <w:left w:val="none" w:sz="0" w:space="0" w:color="auto"/>
        <w:bottom w:val="none" w:sz="0" w:space="0" w:color="auto"/>
        <w:right w:val="none" w:sz="0" w:space="0" w:color="auto"/>
      </w:divBdr>
    </w:div>
    <w:div w:id="295724121">
      <w:bodyDiv w:val="1"/>
      <w:marLeft w:val="0"/>
      <w:marRight w:val="0"/>
      <w:marTop w:val="0"/>
      <w:marBottom w:val="0"/>
      <w:divBdr>
        <w:top w:val="none" w:sz="0" w:space="0" w:color="auto"/>
        <w:left w:val="none" w:sz="0" w:space="0" w:color="auto"/>
        <w:bottom w:val="none" w:sz="0" w:space="0" w:color="auto"/>
        <w:right w:val="none" w:sz="0" w:space="0" w:color="auto"/>
      </w:divBdr>
    </w:div>
    <w:div w:id="297339605">
      <w:bodyDiv w:val="1"/>
      <w:marLeft w:val="0"/>
      <w:marRight w:val="0"/>
      <w:marTop w:val="0"/>
      <w:marBottom w:val="0"/>
      <w:divBdr>
        <w:top w:val="none" w:sz="0" w:space="0" w:color="auto"/>
        <w:left w:val="none" w:sz="0" w:space="0" w:color="auto"/>
        <w:bottom w:val="none" w:sz="0" w:space="0" w:color="auto"/>
        <w:right w:val="none" w:sz="0" w:space="0" w:color="auto"/>
      </w:divBdr>
    </w:div>
    <w:div w:id="299849261">
      <w:bodyDiv w:val="1"/>
      <w:marLeft w:val="0"/>
      <w:marRight w:val="0"/>
      <w:marTop w:val="0"/>
      <w:marBottom w:val="0"/>
      <w:divBdr>
        <w:top w:val="none" w:sz="0" w:space="0" w:color="auto"/>
        <w:left w:val="none" w:sz="0" w:space="0" w:color="auto"/>
        <w:bottom w:val="none" w:sz="0" w:space="0" w:color="auto"/>
        <w:right w:val="none" w:sz="0" w:space="0" w:color="auto"/>
      </w:divBdr>
    </w:div>
    <w:div w:id="305864356">
      <w:bodyDiv w:val="1"/>
      <w:marLeft w:val="0"/>
      <w:marRight w:val="0"/>
      <w:marTop w:val="0"/>
      <w:marBottom w:val="0"/>
      <w:divBdr>
        <w:top w:val="none" w:sz="0" w:space="0" w:color="auto"/>
        <w:left w:val="none" w:sz="0" w:space="0" w:color="auto"/>
        <w:bottom w:val="none" w:sz="0" w:space="0" w:color="auto"/>
        <w:right w:val="none" w:sz="0" w:space="0" w:color="auto"/>
      </w:divBdr>
    </w:div>
    <w:div w:id="309672462">
      <w:bodyDiv w:val="1"/>
      <w:marLeft w:val="0"/>
      <w:marRight w:val="0"/>
      <w:marTop w:val="0"/>
      <w:marBottom w:val="0"/>
      <w:divBdr>
        <w:top w:val="none" w:sz="0" w:space="0" w:color="auto"/>
        <w:left w:val="none" w:sz="0" w:space="0" w:color="auto"/>
        <w:bottom w:val="none" w:sz="0" w:space="0" w:color="auto"/>
        <w:right w:val="none" w:sz="0" w:space="0" w:color="auto"/>
      </w:divBdr>
    </w:div>
    <w:div w:id="317805874">
      <w:bodyDiv w:val="1"/>
      <w:marLeft w:val="0"/>
      <w:marRight w:val="0"/>
      <w:marTop w:val="0"/>
      <w:marBottom w:val="0"/>
      <w:divBdr>
        <w:top w:val="none" w:sz="0" w:space="0" w:color="auto"/>
        <w:left w:val="none" w:sz="0" w:space="0" w:color="auto"/>
        <w:bottom w:val="none" w:sz="0" w:space="0" w:color="auto"/>
        <w:right w:val="none" w:sz="0" w:space="0" w:color="auto"/>
      </w:divBdr>
    </w:div>
    <w:div w:id="319039732">
      <w:bodyDiv w:val="1"/>
      <w:marLeft w:val="0"/>
      <w:marRight w:val="0"/>
      <w:marTop w:val="0"/>
      <w:marBottom w:val="0"/>
      <w:divBdr>
        <w:top w:val="none" w:sz="0" w:space="0" w:color="auto"/>
        <w:left w:val="none" w:sz="0" w:space="0" w:color="auto"/>
        <w:bottom w:val="none" w:sz="0" w:space="0" w:color="auto"/>
        <w:right w:val="none" w:sz="0" w:space="0" w:color="auto"/>
      </w:divBdr>
    </w:div>
    <w:div w:id="320815830">
      <w:bodyDiv w:val="1"/>
      <w:marLeft w:val="0"/>
      <w:marRight w:val="0"/>
      <w:marTop w:val="0"/>
      <w:marBottom w:val="0"/>
      <w:divBdr>
        <w:top w:val="none" w:sz="0" w:space="0" w:color="auto"/>
        <w:left w:val="none" w:sz="0" w:space="0" w:color="auto"/>
        <w:bottom w:val="none" w:sz="0" w:space="0" w:color="auto"/>
        <w:right w:val="none" w:sz="0" w:space="0" w:color="auto"/>
      </w:divBdr>
    </w:div>
    <w:div w:id="322397279">
      <w:bodyDiv w:val="1"/>
      <w:marLeft w:val="0"/>
      <w:marRight w:val="0"/>
      <w:marTop w:val="0"/>
      <w:marBottom w:val="0"/>
      <w:divBdr>
        <w:top w:val="none" w:sz="0" w:space="0" w:color="auto"/>
        <w:left w:val="none" w:sz="0" w:space="0" w:color="auto"/>
        <w:bottom w:val="none" w:sz="0" w:space="0" w:color="auto"/>
        <w:right w:val="none" w:sz="0" w:space="0" w:color="auto"/>
      </w:divBdr>
      <w:divsChild>
        <w:div w:id="2140416450">
          <w:marLeft w:val="0"/>
          <w:marRight w:val="0"/>
          <w:marTop w:val="0"/>
          <w:marBottom w:val="0"/>
          <w:divBdr>
            <w:top w:val="none" w:sz="0" w:space="0" w:color="auto"/>
            <w:left w:val="none" w:sz="0" w:space="0" w:color="auto"/>
            <w:bottom w:val="none" w:sz="0" w:space="0" w:color="auto"/>
            <w:right w:val="none" w:sz="0" w:space="0" w:color="auto"/>
          </w:divBdr>
          <w:divsChild>
            <w:div w:id="2118794861">
              <w:marLeft w:val="0"/>
              <w:marRight w:val="0"/>
              <w:marTop w:val="0"/>
              <w:marBottom w:val="300"/>
              <w:divBdr>
                <w:top w:val="none" w:sz="0" w:space="0" w:color="auto"/>
                <w:left w:val="none" w:sz="0" w:space="0" w:color="auto"/>
                <w:bottom w:val="none" w:sz="0" w:space="0" w:color="auto"/>
                <w:right w:val="none" w:sz="0" w:space="0" w:color="auto"/>
              </w:divBdr>
            </w:div>
          </w:divsChild>
        </w:div>
        <w:div w:id="2104835967">
          <w:marLeft w:val="0"/>
          <w:marRight w:val="0"/>
          <w:marTop w:val="0"/>
          <w:marBottom w:val="0"/>
          <w:divBdr>
            <w:top w:val="none" w:sz="0" w:space="0" w:color="auto"/>
            <w:left w:val="none" w:sz="0" w:space="0" w:color="auto"/>
            <w:bottom w:val="none" w:sz="0" w:space="0" w:color="auto"/>
            <w:right w:val="none" w:sz="0" w:space="0" w:color="auto"/>
          </w:divBdr>
        </w:div>
      </w:divsChild>
    </w:div>
    <w:div w:id="328796067">
      <w:bodyDiv w:val="1"/>
      <w:marLeft w:val="0"/>
      <w:marRight w:val="0"/>
      <w:marTop w:val="0"/>
      <w:marBottom w:val="0"/>
      <w:divBdr>
        <w:top w:val="none" w:sz="0" w:space="0" w:color="auto"/>
        <w:left w:val="none" w:sz="0" w:space="0" w:color="auto"/>
        <w:bottom w:val="none" w:sz="0" w:space="0" w:color="auto"/>
        <w:right w:val="none" w:sz="0" w:space="0" w:color="auto"/>
      </w:divBdr>
    </w:div>
    <w:div w:id="329602513">
      <w:bodyDiv w:val="1"/>
      <w:marLeft w:val="0"/>
      <w:marRight w:val="0"/>
      <w:marTop w:val="0"/>
      <w:marBottom w:val="0"/>
      <w:divBdr>
        <w:top w:val="none" w:sz="0" w:space="0" w:color="auto"/>
        <w:left w:val="none" w:sz="0" w:space="0" w:color="auto"/>
        <w:bottom w:val="none" w:sz="0" w:space="0" w:color="auto"/>
        <w:right w:val="none" w:sz="0" w:space="0" w:color="auto"/>
      </w:divBdr>
    </w:div>
    <w:div w:id="335889533">
      <w:bodyDiv w:val="1"/>
      <w:marLeft w:val="0"/>
      <w:marRight w:val="0"/>
      <w:marTop w:val="0"/>
      <w:marBottom w:val="0"/>
      <w:divBdr>
        <w:top w:val="none" w:sz="0" w:space="0" w:color="auto"/>
        <w:left w:val="none" w:sz="0" w:space="0" w:color="auto"/>
        <w:bottom w:val="none" w:sz="0" w:space="0" w:color="auto"/>
        <w:right w:val="none" w:sz="0" w:space="0" w:color="auto"/>
      </w:divBdr>
    </w:div>
    <w:div w:id="336034119">
      <w:bodyDiv w:val="1"/>
      <w:marLeft w:val="0"/>
      <w:marRight w:val="0"/>
      <w:marTop w:val="0"/>
      <w:marBottom w:val="0"/>
      <w:divBdr>
        <w:top w:val="none" w:sz="0" w:space="0" w:color="auto"/>
        <w:left w:val="none" w:sz="0" w:space="0" w:color="auto"/>
        <w:bottom w:val="none" w:sz="0" w:space="0" w:color="auto"/>
        <w:right w:val="none" w:sz="0" w:space="0" w:color="auto"/>
      </w:divBdr>
    </w:div>
    <w:div w:id="347681448">
      <w:bodyDiv w:val="1"/>
      <w:marLeft w:val="0"/>
      <w:marRight w:val="0"/>
      <w:marTop w:val="0"/>
      <w:marBottom w:val="0"/>
      <w:divBdr>
        <w:top w:val="none" w:sz="0" w:space="0" w:color="auto"/>
        <w:left w:val="none" w:sz="0" w:space="0" w:color="auto"/>
        <w:bottom w:val="none" w:sz="0" w:space="0" w:color="auto"/>
        <w:right w:val="none" w:sz="0" w:space="0" w:color="auto"/>
      </w:divBdr>
    </w:div>
    <w:div w:id="354231623">
      <w:bodyDiv w:val="1"/>
      <w:marLeft w:val="0"/>
      <w:marRight w:val="0"/>
      <w:marTop w:val="0"/>
      <w:marBottom w:val="0"/>
      <w:divBdr>
        <w:top w:val="none" w:sz="0" w:space="0" w:color="auto"/>
        <w:left w:val="none" w:sz="0" w:space="0" w:color="auto"/>
        <w:bottom w:val="none" w:sz="0" w:space="0" w:color="auto"/>
        <w:right w:val="none" w:sz="0" w:space="0" w:color="auto"/>
      </w:divBdr>
      <w:divsChild>
        <w:div w:id="451746835">
          <w:marLeft w:val="0"/>
          <w:marRight w:val="0"/>
          <w:marTop w:val="0"/>
          <w:marBottom w:val="0"/>
          <w:divBdr>
            <w:top w:val="none" w:sz="0" w:space="0" w:color="auto"/>
            <w:left w:val="none" w:sz="0" w:space="0" w:color="auto"/>
            <w:bottom w:val="none" w:sz="0" w:space="0" w:color="auto"/>
            <w:right w:val="none" w:sz="0" w:space="0" w:color="auto"/>
          </w:divBdr>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75472128">
      <w:bodyDiv w:val="1"/>
      <w:marLeft w:val="0"/>
      <w:marRight w:val="0"/>
      <w:marTop w:val="0"/>
      <w:marBottom w:val="0"/>
      <w:divBdr>
        <w:top w:val="none" w:sz="0" w:space="0" w:color="auto"/>
        <w:left w:val="none" w:sz="0" w:space="0" w:color="auto"/>
        <w:bottom w:val="none" w:sz="0" w:space="0" w:color="auto"/>
        <w:right w:val="none" w:sz="0" w:space="0" w:color="auto"/>
      </w:divBdr>
    </w:div>
    <w:div w:id="388770245">
      <w:bodyDiv w:val="1"/>
      <w:marLeft w:val="0"/>
      <w:marRight w:val="0"/>
      <w:marTop w:val="0"/>
      <w:marBottom w:val="0"/>
      <w:divBdr>
        <w:top w:val="none" w:sz="0" w:space="0" w:color="auto"/>
        <w:left w:val="none" w:sz="0" w:space="0" w:color="auto"/>
        <w:bottom w:val="none" w:sz="0" w:space="0" w:color="auto"/>
        <w:right w:val="none" w:sz="0" w:space="0" w:color="auto"/>
      </w:divBdr>
    </w:div>
    <w:div w:id="392386146">
      <w:bodyDiv w:val="1"/>
      <w:marLeft w:val="0"/>
      <w:marRight w:val="0"/>
      <w:marTop w:val="0"/>
      <w:marBottom w:val="0"/>
      <w:divBdr>
        <w:top w:val="none" w:sz="0" w:space="0" w:color="auto"/>
        <w:left w:val="none" w:sz="0" w:space="0" w:color="auto"/>
        <w:bottom w:val="none" w:sz="0" w:space="0" w:color="auto"/>
        <w:right w:val="none" w:sz="0" w:space="0" w:color="auto"/>
      </w:divBdr>
    </w:div>
    <w:div w:id="397441556">
      <w:bodyDiv w:val="1"/>
      <w:marLeft w:val="0"/>
      <w:marRight w:val="0"/>
      <w:marTop w:val="0"/>
      <w:marBottom w:val="0"/>
      <w:divBdr>
        <w:top w:val="none" w:sz="0" w:space="0" w:color="auto"/>
        <w:left w:val="none" w:sz="0" w:space="0" w:color="auto"/>
        <w:bottom w:val="none" w:sz="0" w:space="0" w:color="auto"/>
        <w:right w:val="none" w:sz="0" w:space="0" w:color="auto"/>
      </w:divBdr>
    </w:div>
    <w:div w:id="400562629">
      <w:bodyDiv w:val="1"/>
      <w:marLeft w:val="0"/>
      <w:marRight w:val="0"/>
      <w:marTop w:val="0"/>
      <w:marBottom w:val="0"/>
      <w:divBdr>
        <w:top w:val="none" w:sz="0" w:space="0" w:color="auto"/>
        <w:left w:val="none" w:sz="0" w:space="0" w:color="auto"/>
        <w:bottom w:val="none" w:sz="0" w:space="0" w:color="auto"/>
        <w:right w:val="none" w:sz="0" w:space="0" w:color="auto"/>
      </w:divBdr>
    </w:div>
    <w:div w:id="400643527">
      <w:bodyDiv w:val="1"/>
      <w:marLeft w:val="0"/>
      <w:marRight w:val="0"/>
      <w:marTop w:val="0"/>
      <w:marBottom w:val="0"/>
      <w:divBdr>
        <w:top w:val="none" w:sz="0" w:space="0" w:color="auto"/>
        <w:left w:val="none" w:sz="0" w:space="0" w:color="auto"/>
        <w:bottom w:val="none" w:sz="0" w:space="0" w:color="auto"/>
        <w:right w:val="none" w:sz="0" w:space="0" w:color="auto"/>
      </w:divBdr>
    </w:div>
    <w:div w:id="403529206">
      <w:bodyDiv w:val="1"/>
      <w:marLeft w:val="0"/>
      <w:marRight w:val="0"/>
      <w:marTop w:val="0"/>
      <w:marBottom w:val="0"/>
      <w:divBdr>
        <w:top w:val="none" w:sz="0" w:space="0" w:color="auto"/>
        <w:left w:val="none" w:sz="0" w:space="0" w:color="auto"/>
        <w:bottom w:val="none" w:sz="0" w:space="0" w:color="auto"/>
        <w:right w:val="none" w:sz="0" w:space="0" w:color="auto"/>
      </w:divBdr>
    </w:div>
    <w:div w:id="409622198">
      <w:bodyDiv w:val="1"/>
      <w:marLeft w:val="0"/>
      <w:marRight w:val="0"/>
      <w:marTop w:val="0"/>
      <w:marBottom w:val="0"/>
      <w:divBdr>
        <w:top w:val="none" w:sz="0" w:space="0" w:color="auto"/>
        <w:left w:val="none" w:sz="0" w:space="0" w:color="auto"/>
        <w:bottom w:val="none" w:sz="0" w:space="0" w:color="auto"/>
        <w:right w:val="none" w:sz="0" w:space="0" w:color="auto"/>
      </w:divBdr>
    </w:div>
    <w:div w:id="412051679">
      <w:bodyDiv w:val="1"/>
      <w:marLeft w:val="0"/>
      <w:marRight w:val="0"/>
      <w:marTop w:val="0"/>
      <w:marBottom w:val="0"/>
      <w:divBdr>
        <w:top w:val="none" w:sz="0" w:space="0" w:color="auto"/>
        <w:left w:val="none" w:sz="0" w:space="0" w:color="auto"/>
        <w:bottom w:val="none" w:sz="0" w:space="0" w:color="auto"/>
        <w:right w:val="none" w:sz="0" w:space="0" w:color="auto"/>
      </w:divBdr>
    </w:div>
    <w:div w:id="420880891">
      <w:bodyDiv w:val="1"/>
      <w:marLeft w:val="0"/>
      <w:marRight w:val="0"/>
      <w:marTop w:val="0"/>
      <w:marBottom w:val="0"/>
      <w:divBdr>
        <w:top w:val="none" w:sz="0" w:space="0" w:color="auto"/>
        <w:left w:val="none" w:sz="0" w:space="0" w:color="auto"/>
        <w:bottom w:val="none" w:sz="0" w:space="0" w:color="auto"/>
        <w:right w:val="none" w:sz="0" w:space="0" w:color="auto"/>
      </w:divBdr>
    </w:div>
    <w:div w:id="423722109">
      <w:bodyDiv w:val="1"/>
      <w:marLeft w:val="0"/>
      <w:marRight w:val="0"/>
      <w:marTop w:val="0"/>
      <w:marBottom w:val="0"/>
      <w:divBdr>
        <w:top w:val="none" w:sz="0" w:space="0" w:color="auto"/>
        <w:left w:val="none" w:sz="0" w:space="0" w:color="auto"/>
        <w:bottom w:val="none" w:sz="0" w:space="0" w:color="auto"/>
        <w:right w:val="none" w:sz="0" w:space="0" w:color="auto"/>
      </w:divBdr>
    </w:div>
    <w:div w:id="424694440">
      <w:bodyDiv w:val="1"/>
      <w:marLeft w:val="0"/>
      <w:marRight w:val="0"/>
      <w:marTop w:val="0"/>
      <w:marBottom w:val="0"/>
      <w:divBdr>
        <w:top w:val="none" w:sz="0" w:space="0" w:color="auto"/>
        <w:left w:val="none" w:sz="0" w:space="0" w:color="auto"/>
        <w:bottom w:val="none" w:sz="0" w:space="0" w:color="auto"/>
        <w:right w:val="none" w:sz="0" w:space="0" w:color="auto"/>
      </w:divBdr>
    </w:div>
    <w:div w:id="424959749">
      <w:bodyDiv w:val="1"/>
      <w:marLeft w:val="0"/>
      <w:marRight w:val="0"/>
      <w:marTop w:val="0"/>
      <w:marBottom w:val="0"/>
      <w:divBdr>
        <w:top w:val="none" w:sz="0" w:space="0" w:color="auto"/>
        <w:left w:val="none" w:sz="0" w:space="0" w:color="auto"/>
        <w:bottom w:val="none" w:sz="0" w:space="0" w:color="auto"/>
        <w:right w:val="none" w:sz="0" w:space="0" w:color="auto"/>
      </w:divBdr>
    </w:div>
    <w:div w:id="426846324">
      <w:bodyDiv w:val="1"/>
      <w:marLeft w:val="0"/>
      <w:marRight w:val="0"/>
      <w:marTop w:val="0"/>
      <w:marBottom w:val="0"/>
      <w:divBdr>
        <w:top w:val="none" w:sz="0" w:space="0" w:color="auto"/>
        <w:left w:val="none" w:sz="0" w:space="0" w:color="auto"/>
        <w:bottom w:val="none" w:sz="0" w:space="0" w:color="auto"/>
        <w:right w:val="none" w:sz="0" w:space="0" w:color="auto"/>
      </w:divBdr>
    </w:div>
    <w:div w:id="432211726">
      <w:bodyDiv w:val="1"/>
      <w:marLeft w:val="0"/>
      <w:marRight w:val="0"/>
      <w:marTop w:val="0"/>
      <w:marBottom w:val="0"/>
      <w:divBdr>
        <w:top w:val="none" w:sz="0" w:space="0" w:color="auto"/>
        <w:left w:val="none" w:sz="0" w:space="0" w:color="auto"/>
        <w:bottom w:val="none" w:sz="0" w:space="0" w:color="auto"/>
        <w:right w:val="none" w:sz="0" w:space="0" w:color="auto"/>
      </w:divBdr>
    </w:div>
    <w:div w:id="445779925">
      <w:bodyDiv w:val="1"/>
      <w:marLeft w:val="0"/>
      <w:marRight w:val="0"/>
      <w:marTop w:val="0"/>
      <w:marBottom w:val="0"/>
      <w:divBdr>
        <w:top w:val="none" w:sz="0" w:space="0" w:color="auto"/>
        <w:left w:val="none" w:sz="0" w:space="0" w:color="auto"/>
        <w:bottom w:val="none" w:sz="0" w:space="0" w:color="auto"/>
        <w:right w:val="none" w:sz="0" w:space="0" w:color="auto"/>
      </w:divBdr>
    </w:div>
    <w:div w:id="452941055">
      <w:bodyDiv w:val="1"/>
      <w:marLeft w:val="0"/>
      <w:marRight w:val="0"/>
      <w:marTop w:val="0"/>
      <w:marBottom w:val="0"/>
      <w:divBdr>
        <w:top w:val="none" w:sz="0" w:space="0" w:color="auto"/>
        <w:left w:val="none" w:sz="0" w:space="0" w:color="auto"/>
        <w:bottom w:val="none" w:sz="0" w:space="0" w:color="auto"/>
        <w:right w:val="none" w:sz="0" w:space="0" w:color="auto"/>
      </w:divBdr>
    </w:div>
    <w:div w:id="454176349">
      <w:bodyDiv w:val="1"/>
      <w:marLeft w:val="0"/>
      <w:marRight w:val="0"/>
      <w:marTop w:val="0"/>
      <w:marBottom w:val="0"/>
      <w:divBdr>
        <w:top w:val="none" w:sz="0" w:space="0" w:color="auto"/>
        <w:left w:val="none" w:sz="0" w:space="0" w:color="auto"/>
        <w:bottom w:val="none" w:sz="0" w:space="0" w:color="auto"/>
        <w:right w:val="none" w:sz="0" w:space="0" w:color="auto"/>
      </w:divBdr>
    </w:div>
    <w:div w:id="461845248">
      <w:bodyDiv w:val="1"/>
      <w:marLeft w:val="0"/>
      <w:marRight w:val="0"/>
      <w:marTop w:val="0"/>
      <w:marBottom w:val="0"/>
      <w:divBdr>
        <w:top w:val="none" w:sz="0" w:space="0" w:color="auto"/>
        <w:left w:val="none" w:sz="0" w:space="0" w:color="auto"/>
        <w:bottom w:val="none" w:sz="0" w:space="0" w:color="auto"/>
        <w:right w:val="none" w:sz="0" w:space="0" w:color="auto"/>
      </w:divBdr>
    </w:div>
    <w:div w:id="462619731">
      <w:bodyDiv w:val="1"/>
      <w:marLeft w:val="0"/>
      <w:marRight w:val="0"/>
      <w:marTop w:val="0"/>
      <w:marBottom w:val="0"/>
      <w:divBdr>
        <w:top w:val="none" w:sz="0" w:space="0" w:color="auto"/>
        <w:left w:val="none" w:sz="0" w:space="0" w:color="auto"/>
        <w:bottom w:val="none" w:sz="0" w:space="0" w:color="auto"/>
        <w:right w:val="none" w:sz="0" w:space="0" w:color="auto"/>
      </w:divBdr>
    </w:div>
    <w:div w:id="463039623">
      <w:bodyDiv w:val="1"/>
      <w:marLeft w:val="0"/>
      <w:marRight w:val="0"/>
      <w:marTop w:val="0"/>
      <w:marBottom w:val="0"/>
      <w:divBdr>
        <w:top w:val="none" w:sz="0" w:space="0" w:color="auto"/>
        <w:left w:val="none" w:sz="0" w:space="0" w:color="auto"/>
        <w:bottom w:val="none" w:sz="0" w:space="0" w:color="auto"/>
        <w:right w:val="none" w:sz="0" w:space="0" w:color="auto"/>
      </w:divBdr>
    </w:div>
    <w:div w:id="463815611">
      <w:bodyDiv w:val="1"/>
      <w:marLeft w:val="0"/>
      <w:marRight w:val="0"/>
      <w:marTop w:val="0"/>
      <w:marBottom w:val="0"/>
      <w:divBdr>
        <w:top w:val="none" w:sz="0" w:space="0" w:color="auto"/>
        <w:left w:val="none" w:sz="0" w:space="0" w:color="auto"/>
        <w:bottom w:val="none" w:sz="0" w:space="0" w:color="auto"/>
        <w:right w:val="none" w:sz="0" w:space="0" w:color="auto"/>
      </w:divBdr>
    </w:div>
    <w:div w:id="466360679">
      <w:bodyDiv w:val="1"/>
      <w:marLeft w:val="0"/>
      <w:marRight w:val="0"/>
      <w:marTop w:val="0"/>
      <w:marBottom w:val="0"/>
      <w:divBdr>
        <w:top w:val="none" w:sz="0" w:space="0" w:color="auto"/>
        <w:left w:val="none" w:sz="0" w:space="0" w:color="auto"/>
        <w:bottom w:val="none" w:sz="0" w:space="0" w:color="auto"/>
        <w:right w:val="none" w:sz="0" w:space="0" w:color="auto"/>
      </w:divBdr>
    </w:div>
    <w:div w:id="472451409">
      <w:bodyDiv w:val="1"/>
      <w:marLeft w:val="0"/>
      <w:marRight w:val="0"/>
      <w:marTop w:val="0"/>
      <w:marBottom w:val="0"/>
      <w:divBdr>
        <w:top w:val="none" w:sz="0" w:space="0" w:color="auto"/>
        <w:left w:val="none" w:sz="0" w:space="0" w:color="auto"/>
        <w:bottom w:val="none" w:sz="0" w:space="0" w:color="auto"/>
        <w:right w:val="none" w:sz="0" w:space="0" w:color="auto"/>
      </w:divBdr>
    </w:div>
    <w:div w:id="480273847">
      <w:bodyDiv w:val="1"/>
      <w:marLeft w:val="0"/>
      <w:marRight w:val="0"/>
      <w:marTop w:val="0"/>
      <w:marBottom w:val="0"/>
      <w:divBdr>
        <w:top w:val="none" w:sz="0" w:space="0" w:color="auto"/>
        <w:left w:val="none" w:sz="0" w:space="0" w:color="auto"/>
        <w:bottom w:val="none" w:sz="0" w:space="0" w:color="auto"/>
        <w:right w:val="none" w:sz="0" w:space="0" w:color="auto"/>
      </w:divBdr>
    </w:div>
    <w:div w:id="481308846">
      <w:bodyDiv w:val="1"/>
      <w:marLeft w:val="0"/>
      <w:marRight w:val="0"/>
      <w:marTop w:val="0"/>
      <w:marBottom w:val="0"/>
      <w:divBdr>
        <w:top w:val="none" w:sz="0" w:space="0" w:color="auto"/>
        <w:left w:val="none" w:sz="0" w:space="0" w:color="auto"/>
        <w:bottom w:val="none" w:sz="0" w:space="0" w:color="auto"/>
        <w:right w:val="none" w:sz="0" w:space="0" w:color="auto"/>
      </w:divBdr>
    </w:div>
    <w:div w:id="482699831">
      <w:bodyDiv w:val="1"/>
      <w:marLeft w:val="0"/>
      <w:marRight w:val="0"/>
      <w:marTop w:val="0"/>
      <w:marBottom w:val="0"/>
      <w:divBdr>
        <w:top w:val="none" w:sz="0" w:space="0" w:color="auto"/>
        <w:left w:val="none" w:sz="0" w:space="0" w:color="auto"/>
        <w:bottom w:val="none" w:sz="0" w:space="0" w:color="auto"/>
        <w:right w:val="none" w:sz="0" w:space="0" w:color="auto"/>
      </w:divBdr>
    </w:div>
    <w:div w:id="486746002">
      <w:bodyDiv w:val="1"/>
      <w:marLeft w:val="0"/>
      <w:marRight w:val="0"/>
      <w:marTop w:val="0"/>
      <w:marBottom w:val="0"/>
      <w:divBdr>
        <w:top w:val="none" w:sz="0" w:space="0" w:color="auto"/>
        <w:left w:val="none" w:sz="0" w:space="0" w:color="auto"/>
        <w:bottom w:val="none" w:sz="0" w:space="0" w:color="auto"/>
        <w:right w:val="none" w:sz="0" w:space="0" w:color="auto"/>
      </w:divBdr>
    </w:div>
    <w:div w:id="494955747">
      <w:bodyDiv w:val="1"/>
      <w:marLeft w:val="0"/>
      <w:marRight w:val="0"/>
      <w:marTop w:val="0"/>
      <w:marBottom w:val="0"/>
      <w:divBdr>
        <w:top w:val="none" w:sz="0" w:space="0" w:color="auto"/>
        <w:left w:val="none" w:sz="0" w:space="0" w:color="auto"/>
        <w:bottom w:val="none" w:sz="0" w:space="0" w:color="auto"/>
        <w:right w:val="none" w:sz="0" w:space="0" w:color="auto"/>
      </w:divBdr>
      <w:divsChild>
        <w:div w:id="902831875">
          <w:marLeft w:val="0"/>
          <w:marRight w:val="0"/>
          <w:marTop w:val="0"/>
          <w:marBottom w:val="0"/>
          <w:divBdr>
            <w:top w:val="none" w:sz="0" w:space="0" w:color="auto"/>
            <w:left w:val="none" w:sz="0" w:space="0" w:color="auto"/>
            <w:bottom w:val="none" w:sz="0" w:space="0" w:color="auto"/>
            <w:right w:val="none" w:sz="0" w:space="0" w:color="auto"/>
          </w:divBdr>
          <w:divsChild>
            <w:div w:id="1401908066">
              <w:marLeft w:val="0"/>
              <w:marRight w:val="0"/>
              <w:marTop w:val="0"/>
              <w:marBottom w:val="300"/>
              <w:divBdr>
                <w:top w:val="none" w:sz="0" w:space="0" w:color="auto"/>
                <w:left w:val="none" w:sz="0" w:space="0" w:color="auto"/>
                <w:bottom w:val="none" w:sz="0" w:space="0" w:color="auto"/>
                <w:right w:val="none" w:sz="0" w:space="0" w:color="auto"/>
              </w:divBdr>
            </w:div>
          </w:divsChild>
        </w:div>
        <w:div w:id="1224217655">
          <w:marLeft w:val="0"/>
          <w:marRight w:val="0"/>
          <w:marTop w:val="0"/>
          <w:marBottom w:val="0"/>
          <w:divBdr>
            <w:top w:val="none" w:sz="0" w:space="0" w:color="auto"/>
            <w:left w:val="none" w:sz="0" w:space="0" w:color="auto"/>
            <w:bottom w:val="none" w:sz="0" w:space="0" w:color="auto"/>
            <w:right w:val="none" w:sz="0" w:space="0" w:color="auto"/>
          </w:divBdr>
        </w:div>
      </w:divsChild>
    </w:div>
    <w:div w:id="497843375">
      <w:bodyDiv w:val="1"/>
      <w:marLeft w:val="0"/>
      <w:marRight w:val="0"/>
      <w:marTop w:val="0"/>
      <w:marBottom w:val="0"/>
      <w:divBdr>
        <w:top w:val="none" w:sz="0" w:space="0" w:color="auto"/>
        <w:left w:val="none" w:sz="0" w:space="0" w:color="auto"/>
        <w:bottom w:val="none" w:sz="0" w:space="0" w:color="auto"/>
        <w:right w:val="none" w:sz="0" w:space="0" w:color="auto"/>
      </w:divBdr>
    </w:div>
    <w:div w:id="498615237">
      <w:bodyDiv w:val="1"/>
      <w:marLeft w:val="0"/>
      <w:marRight w:val="0"/>
      <w:marTop w:val="0"/>
      <w:marBottom w:val="0"/>
      <w:divBdr>
        <w:top w:val="none" w:sz="0" w:space="0" w:color="auto"/>
        <w:left w:val="none" w:sz="0" w:space="0" w:color="auto"/>
        <w:bottom w:val="none" w:sz="0" w:space="0" w:color="auto"/>
        <w:right w:val="none" w:sz="0" w:space="0" w:color="auto"/>
      </w:divBdr>
    </w:div>
    <w:div w:id="499085707">
      <w:bodyDiv w:val="1"/>
      <w:marLeft w:val="0"/>
      <w:marRight w:val="0"/>
      <w:marTop w:val="0"/>
      <w:marBottom w:val="0"/>
      <w:divBdr>
        <w:top w:val="none" w:sz="0" w:space="0" w:color="auto"/>
        <w:left w:val="none" w:sz="0" w:space="0" w:color="auto"/>
        <w:bottom w:val="none" w:sz="0" w:space="0" w:color="auto"/>
        <w:right w:val="none" w:sz="0" w:space="0" w:color="auto"/>
      </w:divBdr>
    </w:div>
    <w:div w:id="499732726">
      <w:bodyDiv w:val="1"/>
      <w:marLeft w:val="0"/>
      <w:marRight w:val="0"/>
      <w:marTop w:val="0"/>
      <w:marBottom w:val="0"/>
      <w:divBdr>
        <w:top w:val="none" w:sz="0" w:space="0" w:color="auto"/>
        <w:left w:val="none" w:sz="0" w:space="0" w:color="auto"/>
        <w:bottom w:val="none" w:sz="0" w:space="0" w:color="auto"/>
        <w:right w:val="none" w:sz="0" w:space="0" w:color="auto"/>
      </w:divBdr>
    </w:div>
    <w:div w:id="499779537">
      <w:bodyDiv w:val="1"/>
      <w:marLeft w:val="0"/>
      <w:marRight w:val="0"/>
      <w:marTop w:val="0"/>
      <w:marBottom w:val="0"/>
      <w:divBdr>
        <w:top w:val="none" w:sz="0" w:space="0" w:color="auto"/>
        <w:left w:val="none" w:sz="0" w:space="0" w:color="auto"/>
        <w:bottom w:val="none" w:sz="0" w:space="0" w:color="auto"/>
        <w:right w:val="none" w:sz="0" w:space="0" w:color="auto"/>
      </w:divBdr>
      <w:divsChild>
        <w:div w:id="1544830085">
          <w:marLeft w:val="0"/>
          <w:marRight w:val="0"/>
          <w:marTop w:val="0"/>
          <w:marBottom w:val="0"/>
          <w:divBdr>
            <w:top w:val="none" w:sz="0" w:space="0" w:color="auto"/>
            <w:left w:val="none" w:sz="0" w:space="0" w:color="auto"/>
            <w:bottom w:val="none" w:sz="0" w:space="0" w:color="auto"/>
            <w:right w:val="none" w:sz="0" w:space="0" w:color="auto"/>
          </w:divBdr>
        </w:div>
      </w:divsChild>
    </w:div>
    <w:div w:id="505093009">
      <w:bodyDiv w:val="1"/>
      <w:marLeft w:val="0"/>
      <w:marRight w:val="0"/>
      <w:marTop w:val="0"/>
      <w:marBottom w:val="0"/>
      <w:divBdr>
        <w:top w:val="none" w:sz="0" w:space="0" w:color="auto"/>
        <w:left w:val="none" w:sz="0" w:space="0" w:color="auto"/>
        <w:bottom w:val="none" w:sz="0" w:space="0" w:color="auto"/>
        <w:right w:val="none" w:sz="0" w:space="0" w:color="auto"/>
      </w:divBdr>
    </w:div>
    <w:div w:id="512259329">
      <w:bodyDiv w:val="1"/>
      <w:marLeft w:val="0"/>
      <w:marRight w:val="0"/>
      <w:marTop w:val="0"/>
      <w:marBottom w:val="0"/>
      <w:divBdr>
        <w:top w:val="none" w:sz="0" w:space="0" w:color="auto"/>
        <w:left w:val="none" w:sz="0" w:space="0" w:color="auto"/>
        <w:bottom w:val="none" w:sz="0" w:space="0" w:color="auto"/>
        <w:right w:val="none" w:sz="0" w:space="0" w:color="auto"/>
      </w:divBdr>
    </w:div>
    <w:div w:id="513958370">
      <w:bodyDiv w:val="1"/>
      <w:marLeft w:val="0"/>
      <w:marRight w:val="0"/>
      <w:marTop w:val="0"/>
      <w:marBottom w:val="0"/>
      <w:divBdr>
        <w:top w:val="none" w:sz="0" w:space="0" w:color="auto"/>
        <w:left w:val="none" w:sz="0" w:space="0" w:color="auto"/>
        <w:bottom w:val="none" w:sz="0" w:space="0" w:color="auto"/>
        <w:right w:val="none" w:sz="0" w:space="0" w:color="auto"/>
      </w:divBdr>
    </w:div>
    <w:div w:id="516382544">
      <w:bodyDiv w:val="1"/>
      <w:marLeft w:val="0"/>
      <w:marRight w:val="0"/>
      <w:marTop w:val="0"/>
      <w:marBottom w:val="0"/>
      <w:divBdr>
        <w:top w:val="none" w:sz="0" w:space="0" w:color="auto"/>
        <w:left w:val="none" w:sz="0" w:space="0" w:color="auto"/>
        <w:bottom w:val="none" w:sz="0" w:space="0" w:color="auto"/>
        <w:right w:val="none" w:sz="0" w:space="0" w:color="auto"/>
      </w:divBdr>
    </w:div>
    <w:div w:id="520627197">
      <w:bodyDiv w:val="1"/>
      <w:marLeft w:val="0"/>
      <w:marRight w:val="0"/>
      <w:marTop w:val="0"/>
      <w:marBottom w:val="0"/>
      <w:divBdr>
        <w:top w:val="none" w:sz="0" w:space="0" w:color="auto"/>
        <w:left w:val="none" w:sz="0" w:space="0" w:color="auto"/>
        <w:bottom w:val="none" w:sz="0" w:space="0" w:color="auto"/>
        <w:right w:val="none" w:sz="0" w:space="0" w:color="auto"/>
      </w:divBdr>
    </w:div>
    <w:div w:id="529536573">
      <w:bodyDiv w:val="1"/>
      <w:marLeft w:val="0"/>
      <w:marRight w:val="0"/>
      <w:marTop w:val="0"/>
      <w:marBottom w:val="0"/>
      <w:divBdr>
        <w:top w:val="none" w:sz="0" w:space="0" w:color="auto"/>
        <w:left w:val="none" w:sz="0" w:space="0" w:color="auto"/>
        <w:bottom w:val="none" w:sz="0" w:space="0" w:color="auto"/>
        <w:right w:val="none" w:sz="0" w:space="0" w:color="auto"/>
      </w:divBdr>
    </w:div>
    <w:div w:id="531068703">
      <w:bodyDiv w:val="1"/>
      <w:marLeft w:val="0"/>
      <w:marRight w:val="0"/>
      <w:marTop w:val="0"/>
      <w:marBottom w:val="0"/>
      <w:divBdr>
        <w:top w:val="none" w:sz="0" w:space="0" w:color="auto"/>
        <w:left w:val="none" w:sz="0" w:space="0" w:color="auto"/>
        <w:bottom w:val="none" w:sz="0" w:space="0" w:color="auto"/>
        <w:right w:val="none" w:sz="0" w:space="0" w:color="auto"/>
      </w:divBdr>
    </w:div>
    <w:div w:id="536352144">
      <w:bodyDiv w:val="1"/>
      <w:marLeft w:val="0"/>
      <w:marRight w:val="0"/>
      <w:marTop w:val="0"/>
      <w:marBottom w:val="0"/>
      <w:divBdr>
        <w:top w:val="none" w:sz="0" w:space="0" w:color="auto"/>
        <w:left w:val="none" w:sz="0" w:space="0" w:color="auto"/>
        <w:bottom w:val="none" w:sz="0" w:space="0" w:color="auto"/>
        <w:right w:val="none" w:sz="0" w:space="0" w:color="auto"/>
      </w:divBdr>
    </w:div>
    <w:div w:id="538056911">
      <w:bodyDiv w:val="1"/>
      <w:marLeft w:val="0"/>
      <w:marRight w:val="0"/>
      <w:marTop w:val="0"/>
      <w:marBottom w:val="0"/>
      <w:divBdr>
        <w:top w:val="none" w:sz="0" w:space="0" w:color="auto"/>
        <w:left w:val="none" w:sz="0" w:space="0" w:color="auto"/>
        <w:bottom w:val="none" w:sz="0" w:space="0" w:color="auto"/>
        <w:right w:val="none" w:sz="0" w:space="0" w:color="auto"/>
      </w:divBdr>
    </w:div>
    <w:div w:id="539896276">
      <w:bodyDiv w:val="1"/>
      <w:marLeft w:val="0"/>
      <w:marRight w:val="0"/>
      <w:marTop w:val="0"/>
      <w:marBottom w:val="0"/>
      <w:divBdr>
        <w:top w:val="none" w:sz="0" w:space="0" w:color="auto"/>
        <w:left w:val="none" w:sz="0" w:space="0" w:color="auto"/>
        <w:bottom w:val="none" w:sz="0" w:space="0" w:color="auto"/>
        <w:right w:val="none" w:sz="0" w:space="0" w:color="auto"/>
      </w:divBdr>
    </w:div>
    <w:div w:id="542980947">
      <w:bodyDiv w:val="1"/>
      <w:marLeft w:val="0"/>
      <w:marRight w:val="0"/>
      <w:marTop w:val="0"/>
      <w:marBottom w:val="0"/>
      <w:divBdr>
        <w:top w:val="none" w:sz="0" w:space="0" w:color="auto"/>
        <w:left w:val="none" w:sz="0" w:space="0" w:color="auto"/>
        <w:bottom w:val="none" w:sz="0" w:space="0" w:color="auto"/>
        <w:right w:val="none" w:sz="0" w:space="0" w:color="auto"/>
      </w:divBdr>
    </w:div>
    <w:div w:id="547961309">
      <w:bodyDiv w:val="1"/>
      <w:marLeft w:val="0"/>
      <w:marRight w:val="0"/>
      <w:marTop w:val="0"/>
      <w:marBottom w:val="0"/>
      <w:divBdr>
        <w:top w:val="none" w:sz="0" w:space="0" w:color="auto"/>
        <w:left w:val="none" w:sz="0" w:space="0" w:color="auto"/>
        <w:bottom w:val="none" w:sz="0" w:space="0" w:color="auto"/>
        <w:right w:val="none" w:sz="0" w:space="0" w:color="auto"/>
      </w:divBdr>
    </w:div>
    <w:div w:id="556936738">
      <w:bodyDiv w:val="1"/>
      <w:marLeft w:val="0"/>
      <w:marRight w:val="0"/>
      <w:marTop w:val="0"/>
      <w:marBottom w:val="0"/>
      <w:divBdr>
        <w:top w:val="none" w:sz="0" w:space="0" w:color="auto"/>
        <w:left w:val="none" w:sz="0" w:space="0" w:color="auto"/>
        <w:bottom w:val="none" w:sz="0" w:space="0" w:color="auto"/>
        <w:right w:val="none" w:sz="0" w:space="0" w:color="auto"/>
      </w:divBdr>
    </w:div>
    <w:div w:id="557014145">
      <w:bodyDiv w:val="1"/>
      <w:marLeft w:val="0"/>
      <w:marRight w:val="0"/>
      <w:marTop w:val="0"/>
      <w:marBottom w:val="0"/>
      <w:divBdr>
        <w:top w:val="none" w:sz="0" w:space="0" w:color="auto"/>
        <w:left w:val="none" w:sz="0" w:space="0" w:color="auto"/>
        <w:bottom w:val="none" w:sz="0" w:space="0" w:color="auto"/>
        <w:right w:val="none" w:sz="0" w:space="0" w:color="auto"/>
      </w:divBdr>
    </w:div>
    <w:div w:id="562571442">
      <w:bodyDiv w:val="1"/>
      <w:marLeft w:val="0"/>
      <w:marRight w:val="0"/>
      <w:marTop w:val="0"/>
      <w:marBottom w:val="0"/>
      <w:divBdr>
        <w:top w:val="none" w:sz="0" w:space="0" w:color="auto"/>
        <w:left w:val="none" w:sz="0" w:space="0" w:color="auto"/>
        <w:bottom w:val="none" w:sz="0" w:space="0" w:color="auto"/>
        <w:right w:val="none" w:sz="0" w:space="0" w:color="auto"/>
      </w:divBdr>
    </w:div>
    <w:div w:id="568076207">
      <w:bodyDiv w:val="1"/>
      <w:marLeft w:val="0"/>
      <w:marRight w:val="0"/>
      <w:marTop w:val="0"/>
      <w:marBottom w:val="0"/>
      <w:divBdr>
        <w:top w:val="none" w:sz="0" w:space="0" w:color="auto"/>
        <w:left w:val="none" w:sz="0" w:space="0" w:color="auto"/>
        <w:bottom w:val="none" w:sz="0" w:space="0" w:color="auto"/>
        <w:right w:val="none" w:sz="0" w:space="0" w:color="auto"/>
      </w:divBdr>
    </w:div>
    <w:div w:id="569461359">
      <w:bodyDiv w:val="1"/>
      <w:marLeft w:val="0"/>
      <w:marRight w:val="0"/>
      <w:marTop w:val="0"/>
      <w:marBottom w:val="0"/>
      <w:divBdr>
        <w:top w:val="none" w:sz="0" w:space="0" w:color="auto"/>
        <w:left w:val="none" w:sz="0" w:space="0" w:color="auto"/>
        <w:bottom w:val="none" w:sz="0" w:space="0" w:color="auto"/>
        <w:right w:val="none" w:sz="0" w:space="0" w:color="auto"/>
      </w:divBdr>
    </w:div>
    <w:div w:id="569775342">
      <w:bodyDiv w:val="1"/>
      <w:marLeft w:val="0"/>
      <w:marRight w:val="0"/>
      <w:marTop w:val="0"/>
      <w:marBottom w:val="0"/>
      <w:divBdr>
        <w:top w:val="none" w:sz="0" w:space="0" w:color="auto"/>
        <w:left w:val="none" w:sz="0" w:space="0" w:color="auto"/>
        <w:bottom w:val="none" w:sz="0" w:space="0" w:color="auto"/>
        <w:right w:val="none" w:sz="0" w:space="0" w:color="auto"/>
      </w:divBdr>
    </w:div>
    <w:div w:id="572351825">
      <w:bodyDiv w:val="1"/>
      <w:marLeft w:val="0"/>
      <w:marRight w:val="0"/>
      <w:marTop w:val="0"/>
      <w:marBottom w:val="0"/>
      <w:divBdr>
        <w:top w:val="none" w:sz="0" w:space="0" w:color="auto"/>
        <w:left w:val="none" w:sz="0" w:space="0" w:color="auto"/>
        <w:bottom w:val="none" w:sz="0" w:space="0" w:color="auto"/>
        <w:right w:val="none" w:sz="0" w:space="0" w:color="auto"/>
      </w:divBdr>
    </w:div>
    <w:div w:id="572544231">
      <w:bodyDiv w:val="1"/>
      <w:marLeft w:val="0"/>
      <w:marRight w:val="0"/>
      <w:marTop w:val="0"/>
      <w:marBottom w:val="0"/>
      <w:divBdr>
        <w:top w:val="none" w:sz="0" w:space="0" w:color="auto"/>
        <w:left w:val="none" w:sz="0" w:space="0" w:color="auto"/>
        <w:bottom w:val="none" w:sz="0" w:space="0" w:color="auto"/>
        <w:right w:val="none" w:sz="0" w:space="0" w:color="auto"/>
      </w:divBdr>
    </w:div>
    <w:div w:id="574507564">
      <w:bodyDiv w:val="1"/>
      <w:marLeft w:val="0"/>
      <w:marRight w:val="0"/>
      <w:marTop w:val="0"/>
      <w:marBottom w:val="0"/>
      <w:divBdr>
        <w:top w:val="none" w:sz="0" w:space="0" w:color="auto"/>
        <w:left w:val="none" w:sz="0" w:space="0" w:color="auto"/>
        <w:bottom w:val="none" w:sz="0" w:space="0" w:color="auto"/>
        <w:right w:val="none" w:sz="0" w:space="0" w:color="auto"/>
      </w:divBdr>
    </w:div>
    <w:div w:id="576205408">
      <w:bodyDiv w:val="1"/>
      <w:marLeft w:val="0"/>
      <w:marRight w:val="0"/>
      <w:marTop w:val="0"/>
      <w:marBottom w:val="0"/>
      <w:divBdr>
        <w:top w:val="none" w:sz="0" w:space="0" w:color="auto"/>
        <w:left w:val="none" w:sz="0" w:space="0" w:color="auto"/>
        <w:bottom w:val="none" w:sz="0" w:space="0" w:color="auto"/>
        <w:right w:val="none" w:sz="0" w:space="0" w:color="auto"/>
      </w:divBdr>
      <w:divsChild>
        <w:div w:id="1769497987">
          <w:marLeft w:val="0"/>
          <w:marRight w:val="0"/>
          <w:marTop w:val="0"/>
          <w:marBottom w:val="0"/>
          <w:divBdr>
            <w:top w:val="none" w:sz="0" w:space="0" w:color="auto"/>
            <w:left w:val="none" w:sz="0" w:space="0" w:color="auto"/>
            <w:bottom w:val="none" w:sz="0" w:space="0" w:color="auto"/>
            <w:right w:val="none" w:sz="0" w:space="0" w:color="auto"/>
          </w:divBdr>
          <w:divsChild>
            <w:div w:id="57100459">
              <w:marLeft w:val="0"/>
              <w:marRight w:val="0"/>
              <w:marTop w:val="0"/>
              <w:marBottom w:val="0"/>
              <w:divBdr>
                <w:top w:val="none" w:sz="0" w:space="0" w:color="auto"/>
                <w:left w:val="none" w:sz="0" w:space="0" w:color="auto"/>
                <w:bottom w:val="none" w:sz="0" w:space="0" w:color="auto"/>
                <w:right w:val="none" w:sz="0" w:space="0" w:color="auto"/>
              </w:divBdr>
              <w:divsChild>
                <w:div w:id="21347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9446">
          <w:marLeft w:val="0"/>
          <w:marRight w:val="0"/>
          <w:marTop w:val="0"/>
          <w:marBottom w:val="0"/>
          <w:divBdr>
            <w:top w:val="none" w:sz="0" w:space="0" w:color="auto"/>
            <w:left w:val="none" w:sz="0" w:space="0" w:color="auto"/>
            <w:bottom w:val="none" w:sz="0" w:space="0" w:color="auto"/>
            <w:right w:val="none" w:sz="0" w:space="0" w:color="auto"/>
          </w:divBdr>
          <w:divsChild>
            <w:div w:id="422067747">
              <w:marLeft w:val="0"/>
              <w:marRight w:val="0"/>
              <w:marTop w:val="0"/>
              <w:marBottom w:val="0"/>
              <w:divBdr>
                <w:top w:val="none" w:sz="0" w:space="0" w:color="auto"/>
                <w:left w:val="none" w:sz="0" w:space="0" w:color="auto"/>
                <w:bottom w:val="none" w:sz="0" w:space="0" w:color="auto"/>
                <w:right w:val="none" w:sz="0" w:space="0" w:color="auto"/>
              </w:divBdr>
              <w:divsChild>
                <w:div w:id="1262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51524">
      <w:bodyDiv w:val="1"/>
      <w:marLeft w:val="0"/>
      <w:marRight w:val="0"/>
      <w:marTop w:val="0"/>
      <w:marBottom w:val="0"/>
      <w:divBdr>
        <w:top w:val="none" w:sz="0" w:space="0" w:color="auto"/>
        <w:left w:val="none" w:sz="0" w:space="0" w:color="auto"/>
        <w:bottom w:val="none" w:sz="0" w:space="0" w:color="auto"/>
        <w:right w:val="none" w:sz="0" w:space="0" w:color="auto"/>
      </w:divBdr>
      <w:divsChild>
        <w:div w:id="361908135">
          <w:marLeft w:val="0"/>
          <w:marRight w:val="0"/>
          <w:marTop w:val="0"/>
          <w:marBottom w:val="0"/>
          <w:divBdr>
            <w:top w:val="none" w:sz="0" w:space="0" w:color="auto"/>
            <w:left w:val="none" w:sz="0" w:space="0" w:color="auto"/>
            <w:bottom w:val="none" w:sz="0" w:space="0" w:color="auto"/>
            <w:right w:val="none" w:sz="0" w:space="0" w:color="auto"/>
          </w:divBdr>
          <w:divsChild>
            <w:div w:id="1401714336">
              <w:marLeft w:val="0"/>
              <w:marRight w:val="0"/>
              <w:marTop w:val="0"/>
              <w:marBottom w:val="0"/>
              <w:divBdr>
                <w:top w:val="none" w:sz="0" w:space="0" w:color="auto"/>
                <w:left w:val="none" w:sz="0" w:space="0" w:color="auto"/>
                <w:bottom w:val="none" w:sz="0" w:space="0" w:color="auto"/>
                <w:right w:val="none" w:sz="0" w:space="0" w:color="auto"/>
              </w:divBdr>
              <w:divsChild>
                <w:div w:id="9258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77684">
          <w:marLeft w:val="0"/>
          <w:marRight w:val="0"/>
          <w:marTop w:val="0"/>
          <w:marBottom w:val="0"/>
          <w:divBdr>
            <w:top w:val="none" w:sz="0" w:space="0" w:color="auto"/>
            <w:left w:val="none" w:sz="0" w:space="0" w:color="auto"/>
            <w:bottom w:val="none" w:sz="0" w:space="0" w:color="auto"/>
            <w:right w:val="none" w:sz="0" w:space="0" w:color="auto"/>
          </w:divBdr>
          <w:divsChild>
            <w:div w:id="782923147">
              <w:marLeft w:val="0"/>
              <w:marRight w:val="0"/>
              <w:marTop w:val="0"/>
              <w:marBottom w:val="0"/>
              <w:divBdr>
                <w:top w:val="none" w:sz="0" w:space="0" w:color="auto"/>
                <w:left w:val="none" w:sz="0" w:space="0" w:color="auto"/>
                <w:bottom w:val="none" w:sz="0" w:space="0" w:color="auto"/>
                <w:right w:val="none" w:sz="0" w:space="0" w:color="auto"/>
              </w:divBdr>
              <w:divsChild>
                <w:div w:id="14085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3125">
      <w:bodyDiv w:val="1"/>
      <w:marLeft w:val="0"/>
      <w:marRight w:val="0"/>
      <w:marTop w:val="0"/>
      <w:marBottom w:val="0"/>
      <w:divBdr>
        <w:top w:val="none" w:sz="0" w:space="0" w:color="auto"/>
        <w:left w:val="none" w:sz="0" w:space="0" w:color="auto"/>
        <w:bottom w:val="none" w:sz="0" w:space="0" w:color="auto"/>
        <w:right w:val="none" w:sz="0" w:space="0" w:color="auto"/>
      </w:divBdr>
    </w:div>
    <w:div w:id="583875247">
      <w:bodyDiv w:val="1"/>
      <w:marLeft w:val="0"/>
      <w:marRight w:val="0"/>
      <w:marTop w:val="0"/>
      <w:marBottom w:val="0"/>
      <w:divBdr>
        <w:top w:val="none" w:sz="0" w:space="0" w:color="auto"/>
        <w:left w:val="none" w:sz="0" w:space="0" w:color="auto"/>
        <w:bottom w:val="none" w:sz="0" w:space="0" w:color="auto"/>
        <w:right w:val="none" w:sz="0" w:space="0" w:color="auto"/>
      </w:divBdr>
      <w:divsChild>
        <w:div w:id="1132596097">
          <w:marLeft w:val="0"/>
          <w:marRight w:val="0"/>
          <w:marTop w:val="0"/>
          <w:marBottom w:val="0"/>
          <w:divBdr>
            <w:top w:val="none" w:sz="0" w:space="0" w:color="auto"/>
            <w:left w:val="none" w:sz="0" w:space="0" w:color="auto"/>
            <w:bottom w:val="none" w:sz="0" w:space="0" w:color="auto"/>
            <w:right w:val="none" w:sz="0" w:space="0" w:color="auto"/>
          </w:divBdr>
        </w:div>
      </w:divsChild>
    </w:div>
    <w:div w:id="584849568">
      <w:bodyDiv w:val="1"/>
      <w:marLeft w:val="0"/>
      <w:marRight w:val="0"/>
      <w:marTop w:val="0"/>
      <w:marBottom w:val="0"/>
      <w:divBdr>
        <w:top w:val="none" w:sz="0" w:space="0" w:color="auto"/>
        <w:left w:val="none" w:sz="0" w:space="0" w:color="auto"/>
        <w:bottom w:val="none" w:sz="0" w:space="0" w:color="auto"/>
        <w:right w:val="none" w:sz="0" w:space="0" w:color="auto"/>
      </w:divBdr>
    </w:div>
    <w:div w:id="587928659">
      <w:bodyDiv w:val="1"/>
      <w:marLeft w:val="0"/>
      <w:marRight w:val="0"/>
      <w:marTop w:val="0"/>
      <w:marBottom w:val="0"/>
      <w:divBdr>
        <w:top w:val="none" w:sz="0" w:space="0" w:color="auto"/>
        <w:left w:val="none" w:sz="0" w:space="0" w:color="auto"/>
        <w:bottom w:val="none" w:sz="0" w:space="0" w:color="auto"/>
        <w:right w:val="none" w:sz="0" w:space="0" w:color="auto"/>
      </w:divBdr>
    </w:div>
    <w:div w:id="588123210">
      <w:bodyDiv w:val="1"/>
      <w:marLeft w:val="0"/>
      <w:marRight w:val="0"/>
      <w:marTop w:val="0"/>
      <w:marBottom w:val="0"/>
      <w:divBdr>
        <w:top w:val="none" w:sz="0" w:space="0" w:color="auto"/>
        <w:left w:val="none" w:sz="0" w:space="0" w:color="auto"/>
        <w:bottom w:val="none" w:sz="0" w:space="0" w:color="auto"/>
        <w:right w:val="none" w:sz="0" w:space="0" w:color="auto"/>
      </w:divBdr>
    </w:div>
    <w:div w:id="589235146">
      <w:bodyDiv w:val="1"/>
      <w:marLeft w:val="0"/>
      <w:marRight w:val="0"/>
      <w:marTop w:val="0"/>
      <w:marBottom w:val="0"/>
      <w:divBdr>
        <w:top w:val="none" w:sz="0" w:space="0" w:color="auto"/>
        <w:left w:val="none" w:sz="0" w:space="0" w:color="auto"/>
        <w:bottom w:val="none" w:sz="0" w:space="0" w:color="auto"/>
        <w:right w:val="none" w:sz="0" w:space="0" w:color="auto"/>
      </w:divBdr>
    </w:div>
    <w:div w:id="596520607">
      <w:bodyDiv w:val="1"/>
      <w:marLeft w:val="0"/>
      <w:marRight w:val="0"/>
      <w:marTop w:val="0"/>
      <w:marBottom w:val="0"/>
      <w:divBdr>
        <w:top w:val="none" w:sz="0" w:space="0" w:color="auto"/>
        <w:left w:val="none" w:sz="0" w:space="0" w:color="auto"/>
        <w:bottom w:val="none" w:sz="0" w:space="0" w:color="auto"/>
        <w:right w:val="none" w:sz="0" w:space="0" w:color="auto"/>
      </w:divBdr>
    </w:div>
    <w:div w:id="596594439">
      <w:bodyDiv w:val="1"/>
      <w:marLeft w:val="0"/>
      <w:marRight w:val="0"/>
      <w:marTop w:val="0"/>
      <w:marBottom w:val="0"/>
      <w:divBdr>
        <w:top w:val="none" w:sz="0" w:space="0" w:color="auto"/>
        <w:left w:val="none" w:sz="0" w:space="0" w:color="auto"/>
        <w:bottom w:val="none" w:sz="0" w:space="0" w:color="auto"/>
        <w:right w:val="none" w:sz="0" w:space="0" w:color="auto"/>
      </w:divBdr>
    </w:div>
    <w:div w:id="602030897">
      <w:bodyDiv w:val="1"/>
      <w:marLeft w:val="0"/>
      <w:marRight w:val="0"/>
      <w:marTop w:val="0"/>
      <w:marBottom w:val="0"/>
      <w:divBdr>
        <w:top w:val="none" w:sz="0" w:space="0" w:color="auto"/>
        <w:left w:val="none" w:sz="0" w:space="0" w:color="auto"/>
        <w:bottom w:val="none" w:sz="0" w:space="0" w:color="auto"/>
        <w:right w:val="none" w:sz="0" w:space="0" w:color="auto"/>
      </w:divBdr>
    </w:div>
    <w:div w:id="602080521">
      <w:bodyDiv w:val="1"/>
      <w:marLeft w:val="0"/>
      <w:marRight w:val="0"/>
      <w:marTop w:val="0"/>
      <w:marBottom w:val="0"/>
      <w:divBdr>
        <w:top w:val="none" w:sz="0" w:space="0" w:color="auto"/>
        <w:left w:val="none" w:sz="0" w:space="0" w:color="auto"/>
        <w:bottom w:val="none" w:sz="0" w:space="0" w:color="auto"/>
        <w:right w:val="none" w:sz="0" w:space="0" w:color="auto"/>
      </w:divBdr>
    </w:div>
    <w:div w:id="610818939">
      <w:bodyDiv w:val="1"/>
      <w:marLeft w:val="0"/>
      <w:marRight w:val="0"/>
      <w:marTop w:val="0"/>
      <w:marBottom w:val="0"/>
      <w:divBdr>
        <w:top w:val="none" w:sz="0" w:space="0" w:color="auto"/>
        <w:left w:val="none" w:sz="0" w:space="0" w:color="auto"/>
        <w:bottom w:val="none" w:sz="0" w:space="0" w:color="auto"/>
        <w:right w:val="none" w:sz="0" w:space="0" w:color="auto"/>
      </w:divBdr>
      <w:divsChild>
        <w:div w:id="1269195613">
          <w:marLeft w:val="0"/>
          <w:marRight w:val="0"/>
          <w:marTop w:val="0"/>
          <w:marBottom w:val="0"/>
          <w:divBdr>
            <w:top w:val="none" w:sz="0" w:space="0" w:color="auto"/>
            <w:left w:val="none" w:sz="0" w:space="0" w:color="auto"/>
            <w:bottom w:val="none" w:sz="0" w:space="0" w:color="auto"/>
            <w:right w:val="none" w:sz="0" w:space="0" w:color="auto"/>
          </w:divBdr>
        </w:div>
      </w:divsChild>
    </w:div>
    <w:div w:id="626621236">
      <w:bodyDiv w:val="1"/>
      <w:marLeft w:val="0"/>
      <w:marRight w:val="0"/>
      <w:marTop w:val="0"/>
      <w:marBottom w:val="0"/>
      <w:divBdr>
        <w:top w:val="none" w:sz="0" w:space="0" w:color="auto"/>
        <w:left w:val="none" w:sz="0" w:space="0" w:color="auto"/>
        <w:bottom w:val="none" w:sz="0" w:space="0" w:color="auto"/>
        <w:right w:val="none" w:sz="0" w:space="0" w:color="auto"/>
      </w:divBdr>
    </w:div>
    <w:div w:id="635523462">
      <w:bodyDiv w:val="1"/>
      <w:marLeft w:val="0"/>
      <w:marRight w:val="0"/>
      <w:marTop w:val="0"/>
      <w:marBottom w:val="0"/>
      <w:divBdr>
        <w:top w:val="none" w:sz="0" w:space="0" w:color="auto"/>
        <w:left w:val="none" w:sz="0" w:space="0" w:color="auto"/>
        <w:bottom w:val="none" w:sz="0" w:space="0" w:color="auto"/>
        <w:right w:val="none" w:sz="0" w:space="0" w:color="auto"/>
      </w:divBdr>
    </w:div>
    <w:div w:id="638802324">
      <w:bodyDiv w:val="1"/>
      <w:marLeft w:val="0"/>
      <w:marRight w:val="0"/>
      <w:marTop w:val="0"/>
      <w:marBottom w:val="0"/>
      <w:divBdr>
        <w:top w:val="none" w:sz="0" w:space="0" w:color="auto"/>
        <w:left w:val="none" w:sz="0" w:space="0" w:color="auto"/>
        <w:bottom w:val="none" w:sz="0" w:space="0" w:color="auto"/>
        <w:right w:val="none" w:sz="0" w:space="0" w:color="auto"/>
      </w:divBdr>
    </w:div>
    <w:div w:id="648244045">
      <w:bodyDiv w:val="1"/>
      <w:marLeft w:val="0"/>
      <w:marRight w:val="0"/>
      <w:marTop w:val="0"/>
      <w:marBottom w:val="0"/>
      <w:divBdr>
        <w:top w:val="none" w:sz="0" w:space="0" w:color="auto"/>
        <w:left w:val="none" w:sz="0" w:space="0" w:color="auto"/>
        <w:bottom w:val="none" w:sz="0" w:space="0" w:color="auto"/>
        <w:right w:val="none" w:sz="0" w:space="0" w:color="auto"/>
      </w:divBdr>
    </w:div>
    <w:div w:id="650790181">
      <w:bodyDiv w:val="1"/>
      <w:marLeft w:val="0"/>
      <w:marRight w:val="0"/>
      <w:marTop w:val="0"/>
      <w:marBottom w:val="0"/>
      <w:divBdr>
        <w:top w:val="none" w:sz="0" w:space="0" w:color="auto"/>
        <w:left w:val="none" w:sz="0" w:space="0" w:color="auto"/>
        <w:bottom w:val="none" w:sz="0" w:space="0" w:color="auto"/>
        <w:right w:val="none" w:sz="0" w:space="0" w:color="auto"/>
      </w:divBdr>
    </w:div>
    <w:div w:id="651786652">
      <w:bodyDiv w:val="1"/>
      <w:marLeft w:val="0"/>
      <w:marRight w:val="0"/>
      <w:marTop w:val="0"/>
      <w:marBottom w:val="0"/>
      <w:divBdr>
        <w:top w:val="none" w:sz="0" w:space="0" w:color="auto"/>
        <w:left w:val="none" w:sz="0" w:space="0" w:color="auto"/>
        <w:bottom w:val="none" w:sz="0" w:space="0" w:color="auto"/>
        <w:right w:val="none" w:sz="0" w:space="0" w:color="auto"/>
      </w:divBdr>
    </w:div>
    <w:div w:id="655762337">
      <w:bodyDiv w:val="1"/>
      <w:marLeft w:val="0"/>
      <w:marRight w:val="0"/>
      <w:marTop w:val="0"/>
      <w:marBottom w:val="0"/>
      <w:divBdr>
        <w:top w:val="none" w:sz="0" w:space="0" w:color="auto"/>
        <w:left w:val="none" w:sz="0" w:space="0" w:color="auto"/>
        <w:bottom w:val="none" w:sz="0" w:space="0" w:color="auto"/>
        <w:right w:val="none" w:sz="0" w:space="0" w:color="auto"/>
      </w:divBdr>
    </w:div>
    <w:div w:id="671372458">
      <w:bodyDiv w:val="1"/>
      <w:marLeft w:val="0"/>
      <w:marRight w:val="0"/>
      <w:marTop w:val="0"/>
      <w:marBottom w:val="0"/>
      <w:divBdr>
        <w:top w:val="none" w:sz="0" w:space="0" w:color="auto"/>
        <w:left w:val="none" w:sz="0" w:space="0" w:color="auto"/>
        <w:bottom w:val="none" w:sz="0" w:space="0" w:color="auto"/>
        <w:right w:val="none" w:sz="0" w:space="0" w:color="auto"/>
      </w:divBdr>
    </w:div>
    <w:div w:id="679891184">
      <w:bodyDiv w:val="1"/>
      <w:marLeft w:val="0"/>
      <w:marRight w:val="0"/>
      <w:marTop w:val="0"/>
      <w:marBottom w:val="0"/>
      <w:divBdr>
        <w:top w:val="none" w:sz="0" w:space="0" w:color="auto"/>
        <w:left w:val="none" w:sz="0" w:space="0" w:color="auto"/>
        <w:bottom w:val="none" w:sz="0" w:space="0" w:color="auto"/>
        <w:right w:val="none" w:sz="0" w:space="0" w:color="auto"/>
      </w:divBdr>
    </w:div>
    <w:div w:id="688992578">
      <w:bodyDiv w:val="1"/>
      <w:marLeft w:val="0"/>
      <w:marRight w:val="0"/>
      <w:marTop w:val="0"/>
      <w:marBottom w:val="0"/>
      <w:divBdr>
        <w:top w:val="none" w:sz="0" w:space="0" w:color="auto"/>
        <w:left w:val="none" w:sz="0" w:space="0" w:color="auto"/>
        <w:bottom w:val="none" w:sz="0" w:space="0" w:color="auto"/>
        <w:right w:val="none" w:sz="0" w:space="0" w:color="auto"/>
      </w:divBdr>
    </w:div>
    <w:div w:id="694038414">
      <w:bodyDiv w:val="1"/>
      <w:marLeft w:val="0"/>
      <w:marRight w:val="0"/>
      <w:marTop w:val="0"/>
      <w:marBottom w:val="0"/>
      <w:divBdr>
        <w:top w:val="none" w:sz="0" w:space="0" w:color="auto"/>
        <w:left w:val="none" w:sz="0" w:space="0" w:color="auto"/>
        <w:bottom w:val="none" w:sz="0" w:space="0" w:color="auto"/>
        <w:right w:val="none" w:sz="0" w:space="0" w:color="auto"/>
      </w:divBdr>
    </w:div>
    <w:div w:id="696394561">
      <w:bodyDiv w:val="1"/>
      <w:marLeft w:val="0"/>
      <w:marRight w:val="0"/>
      <w:marTop w:val="0"/>
      <w:marBottom w:val="0"/>
      <w:divBdr>
        <w:top w:val="none" w:sz="0" w:space="0" w:color="auto"/>
        <w:left w:val="none" w:sz="0" w:space="0" w:color="auto"/>
        <w:bottom w:val="none" w:sz="0" w:space="0" w:color="auto"/>
        <w:right w:val="none" w:sz="0" w:space="0" w:color="auto"/>
      </w:divBdr>
    </w:div>
    <w:div w:id="706611730">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2773935">
      <w:bodyDiv w:val="1"/>
      <w:marLeft w:val="0"/>
      <w:marRight w:val="0"/>
      <w:marTop w:val="0"/>
      <w:marBottom w:val="0"/>
      <w:divBdr>
        <w:top w:val="none" w:sz="0" w:space="0" w:color="auto"/>
        <w:left w:val="none" w:sz="0" w:space="0" w:color="auto"/>
        <w:bottom w:val="none" w:sz="0" w:space="0" w:color="auto"/>
        <w:right w:val="none" w:sz="0" w:space="0" w:color="auto"/>
      </w:divBdr>
    </w:div>
    <w:div w:id="714045750">
      <w:bodyDiv w:val="1"/>
      <w:marLeft w:val="0"/>
      <w:marRight w:val="0"/>
      <w:marTop w:val="0"/>
      <w:marBottom w:val="0"/>
      <w:divBdr>
        <w:top w:val="none" w:sz="0" w:space="0" w:color="auto"/>
        <w:left w:val="none" w:sz="0" w:space="0" w:color="auto"/>
        <w:bottom w:val="none" w:sz="0" w:space="0" w:color="auto"/>
        <w:right w:val="none" w:sz="0" w:space="0" w:color="auto"/>
      </w:divBdr>
    </w:div>
    <w:div w:id="716124320">
      <w:bodyDiv w:val="1"/>
      <w:marLeft w:val="0"/>
      <w:marRight w:val="0"/>
      <w:marTop w:val="0"/>
      <w:marBottom w:val="0"/>
      <w:divBdr>
        <w:top w:val="none" w:sz="0" w:space="0" w:color="auto"/>
        <w:left w:val="none" w:sz="0" w:space="0" w:color="auto"/>
        <w:bottom w:val="none" w:sz="0" w:space="0" w:color="auto"/>
        <w:right w:val="none" w:sz="0" w:space="0" w:color="auto"/>
      </w:divBdr>
    </w:div>
    <w:div w:id="726033981">
      <w:bodyDiv w:val="1"/>
      <w:marLeft w:val="0"/>
      <w:marRight w:val="0"/>
      <w:marTop w:val="0"/>
      <w:marBottom w:val="0"/>
      <w:divBdr>
        <w:top w:val="none" w:sz="0" w:space="0" w:color="auto"/>
        <w:left w:val="none" w:sz="0" w:space="0" w:color="auto"/>
        <w:bottom w:val="none" w:sz="0" w:space="0" w:color="auto"/>
        <w:right w:val="none" w:sz="0" w:space="0" w:color="auto"/>
      </w:divBdr>
    </w:div>
    <w:div w:id="743651692">
      <w:bodyDiv w:val="1"/>
      <w:marLeft w:val="0"/>
      <w:marRight w:val="0"/>
      <w:marTop w:val="0"/>
      <w:marBottom w:val="0"/>
      <w:divBdr>
        <w:top w:val="none" w:sz="0" w:space="0" w:color="auto"/>
        <w:left w:val="none" w:sz="0" w:space="0" w:color="auto"/>
        <w:bottom w:val="none" w:sz="0" w:space="0" w:color="auto"/>
        <w:right w:val="none" w:sz="0" w:space="0" w:color="auto"/>
      </w:divBdr>
    </w:div>
    <w:div w:id="748039550">
      <w:bodyDiv w:val="1"/>
      <w:marLeft w:val="0"/>
      <w:marRight w:val="0"/>
      <w:marTop w:val="0"/>
      <w:marBottom w:val="0"/>
      <w:divBdr>
        <w:top w:val="none" w:sz="0" w:space="0" w:color="auto"/>
        <w:left w:val="none" w:sz="0" w:space="0" w:color="auto"/>
        <w:bottom w:val="none" w:sz="0" w:space="0" w:color="auto"/>
        <w:right w:val="none" w:sz="0" w:space="0" w:color="auto"/>
      </w:divBdr>
    </w:div>
    <w:div w:id="749354990">
      <w:bodyDiv w:val="1"/>
      <w:marLeft w:val="0"/>
      <w:marRight w:val="0"/>
      <w:marTop w:val="0"/>
      <w:marBottom w:val="0"/>
      <w:divBdr>
        <w:top w:val="none" w:sz="0" w:space="0" w:color="auto"/>
        <w:left w:val="none" w:sz="0" w:space="0" w:color="auto"/>
        <w:bottom w:val="none" w:sz="0" w:space="0" w:color="auto"/>
        <w:right w:val="none" w:sz="0" w:space="0" w:color="auto"/>
      </w:divBdr>
    </w:div>
    <w:div w:id="752318173">
      <w:bodyDiv w:val="1"/>
      <w:marLeft w:val="0"/>
      <w:marRight w:val="0"/>
      <w:marTop w:val="0"/>
      <w:marBottom w:val="0"/>
      <w:divBdr>
        <w:top w:val="none" w:sz="0" w:space="0" w:color="auto"/>
        <w:left w:val="none" w:sz="0" w:space="0" w:color="auto"/>
        <w:bottom w:val="none" w:sz="0" w:space="0" w:color="auto"/>
        <w:right w:val="none" w:sz="0" w:space="0" w:color="auto"/>
      </w:divBdr>
    </w:div>
    <w:div w:id="752513913">
      <w:bodyDiv w:val="1"/>
      <w:marLeft w:val="0"/>
      <w:marRight w:val="0"/>
      <w:marTop w:val="0"/>
      <w:marBottom w:val="0"/>
      <w:divBdr>
        <w:top w:val="none" w:sz="0" w:space="0" w:color="auto"/>
        <w:left w:val="none" w:sz="0" w:space="0" w:color="auto"/>
        <w:bottom w:val="none" w:sz="0" w:space="0" w:color="auto"/>
        <w:right w:val="none" w:sz="0" w:space="0" w:color="auto"/>
      </w:divBdr>
    </w:div>
    <w:div w:id="753941734">
      <w:bodyDiv w:val="1"/>
      <w:marLeft w:val="0"/>
      <w:marRight w:val="0"/>
      <w:marTop w:val="0"/>
      <w:marBottom w:val="0"/>
      <w:divBdr>
        <w:top w:val="none" w:sz="0" w:space="0" w:color="auto"/>
        <w:left w:val="none" w:sz="0" w:space="0" w:color="auto"/>
        <w:bottom w:val="none" w:sz="0" w:space="0" w:color="auto"/>
        <w:right w:val="none" w:sz="0" w:space="0" w:color="auto"/>
      </w:divBdr>
    </w:div>
    <w:div w:id="754404876">
      <w:bodyDiv w:val="1"/>
      <w:marLeft w:val="0"/>
      <w:marRight w:val="0"/>
      <w:marTop w:val="0"/>
      <w:marBottom w:val="0"/>
      <w:divBdr>
        <w:top w:val="none" w:sz="0" w:space="0" w:color="auto"/>
        <w:left w:val="none" w:sz="0" w:space="0" w:color="auto"/>
        <w:bottom w:val="none" w:sz="0" w:space="0" w:color="auto"/>
        <w:right w:val="none" w:sz="0" w:space="0" w:color="auto"/>
      </w:divBdr>
    </w:div>
    <w:div w:id="759301585">
      <w:bodyDiv w:val="1"/>
      <w:marLeft w:val="0"/>
      <w:marRight w:val="0"/>
      <w:marTop w:val="0"/>
      <w:marBottom w:val="0"/>
      <w:divBdr>
        <w:top w:val="none" w:sz="0" w:space="0" w:color="auto"/>
        <w:left w:val="none" w:sz="0" w:space="0" w:color="auto"/>
        <w:bottom w:val="none" w:sz="0" w:space="0" w:color="auto"/>
        <w:right w:val="none" w:sz="0" w:space="0" w:color="auto"/>
      </w:divBdr>
    </w:div>
    <w:div w:id="768234523">
      <w:bodyDiv w:val="1"/>
      <w:marLeft w:val="0"/>
      <w:marRight w:val="0"/>
      <w:marTop w:val="0"/>
      <w:marBottom w:val="0"/>
      <w:divBdr>
        <w:top w:val="none" w:sz="0" w:space="0" w:color="auto"/>
        <w:left w:val="none" w:sz="0" w:space="0" w:color="auto"/>
        <w:bottom w:val="none" w:sz="0" w:space="0" w:color="auto"/>
        <w:right w:val="none" w:sz="0" w:space="0" w:color="auto"/>
      </w:divBdr>
      <w:divsChild>
        <w:div w:id="2028365499">
          <w:marLeft w:val="0"/>
          <w:marRight w:val="0"/>
          <w:marTop w:val="0"/>
          <w:marBottom w:val="0"/>
          <w:divBdr>
            <w:top w:val="none" w:sz="0" w:space="0" w:color="auto"/>
            <w:left w:val="none" w:sz="0" w:space="0" w:color="auto"/>
            <w:bottom w:val="none" w:sz="0" w:space="0" w:color="auto"/>
            <w:right w:val="none" w:sz="0" w:space="0" w:color="auto"/>
          </w:divBdr>
          <w:divsChild>
            <w:div w:id="5707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4983">
      <w:bodyDiv w:val="1"/>
      <w:marLeft w:val="0"/>
      <w:marRight w:val="0"/>
      <w:marTop w:val="0"/>
      <w:marBottom w:val="0"/>
      <w:divBdr>
        <w:top w:val="none" w:sz="0" w:space="0" w:color="auto"/>
        <w:left w:val="none" w:sz="0" w:space="0" w:color="auto"/>
        <w:bottom w:val="none" w:sz="0" w:space="0" w:color="auto"/>
        <w:right w:val="none" w:sz="0" w:space="0" w:color="auto"/>
      </w:divBdr>
    </w:div>
    <w:div w:id="785390766">
      <w:bodyDiv w:val="1"/>
      <w:marLeft w:val="0"/>
      <w:marRight w:val="0"/>
      <w:marTop w:val="0"/>
      <w:marBottom w:val="0"/>
      <w:divBdr>
        <w:top w:val="none" w:sz="0" w:space="0" w:color="auto"/>
        <w:left w:val="none" w:sz="0" w:space="0" w:color="auto"/>
        <w:bottom w:val="none" w:sz="0" w:space="0" w:color="auto"/>
        <w:right w:val="none" w:sz="0" w:space="0" w:color="auto"/>
      </w:divBdr>
    </w:div>
    <w:div w:id="786923001">
      <w:bodyDiv w:val="1"/>
      <w:marLeft w:val="0"/>
      <w:marRight w:val="0"/>
      <w:marTop w:val="0"/>
      <w:marBottom w:val="0"/>
      <w:divBdr>
        <w:top w:val="none" w:sz="0" w:space="0" w:color="auto"/>
        <w:left w:val="none" w:sz="0" w:space="0" w:color="auto"/>
        <w:bottom w:val="none" w:sz="0" w:space="0" w:color="auto"/>
        <w:right w:val="none" w:sz="0" w:space="0" w:color="auto"/>
      </w:divBdr>
    </w:div>
    <w:div w:id="787285462">
      <w:bodyDiv w:val="1"/>
      <w:marLeft w:val="0"/>
      <w:marRight w:val="0"/>
      <w:marTop w:val="0"/>
      <w:marBottom w:val="0"/>
      <w:divBdr>
        <w:top w:val="none" w:sz="0" w:space="0" w:color="auto"/>
        <w:left w:val="none" w:sz="0" w:space="0" w:color="auto"/>
        <w:bottom w:val="none" w:sz="0" w:space="0" w:color="auto"/>
        <w:right w:val="none" w:sz="0" w:space="0" w:color="auto"/>
      </w:divBdr>
    </w:div>
    <w:div w:id="789281690">
      <w:bodyDiv w:val="1"/>
      <w:marLeft w:val="0"/>
      <w:marRight w:val="0"/>
      <w:marTop w:val="0"/>
      <w:marBottom w:val="0"/>
      <w:divBdr>
        <w:top w:val="none" w:sz="0" w:space="0" w:color="auto"/>
        <w:left w:val="none" w:sz="0" w:space="0" w:color="auto"/>
        <w:bottom w:val="none" w:sz="0" w:space="0" w:color="auto"/>
        <w:right w:val="none" w:sz="0" w:space="0" w:color="auto"/>
      </w:divBdr>
    </w:div>
    <w:div w:id="795561523">
      <w:bodyDiv w:val="1"/>
      <w:marLeft w:val="0"/>
      <w:marRight w:val="0"/>
      <w:marTop w:val="0"/>
      <w:marBottom w:val="0"/>
      <w:divBdr>
        <w:top w:val="none" w:sz="0" w:space="0" w:color="auto"/>
        <w:left w:val="none" w:sz="0" w:space="0" w:color="auto"/>
        <w:bottom w:val="none" w:sz="0" w:space="0" w:color="auto"/>
        <w:right w:val="none" w:sz="0" w:space="0" w:color="auto"/>
      </w:divBdr>
      <w:divsChild>
        <w:div w:id="1802384837">
          <w:marLeft w:val="0"/>
          <w:marRight w:val="0"/>
          <w:marTop w:val="0"/>
          <w:marBottom w:val="0"/>
          <w:divBdr>
            <w:top w:val="none" w:sz="0" w:space="0" w:color="auto"/>
            <w:left w:val="none" w:sz="0" w:space="0" w:color="auto"/>
            <w:bottom w:val="none" w:sz="0" w:space="0" w:color="auto"/>
            <w:right w:val="none" w:sz="0" w:space="0" w:color="auto"/>
          </w:divBdr>
          <w:divsChild>
            <w:div w:id="1878933761">
              <w:marLeft w:val="0"/>
              <w:marRight w:val="0"/>
              <w:marTop w:val="0"/>
              <w:marBottom w:val="300"/>
              <w:divBdr>
                <w:top w:val="none" w:sz="0" w:space="0" w:color="auto"/>
                <w:left w:val="none" w:sz="0" w:space="0" w:color="auto"/>
                <w:bottom w:val="none" w:sz="0" w:space="0" w:color="auto"/>
                <w:right w:val="none" w:sz="0" w:space="0" w:color="auto"/>
              </w:divBdr>
            </w:div>
          </w:divsChild>
        </w:div>
        <w:div w:id="1784381283">
          <w:marLeft w:val="0"/>
          <w:marRight w:val="0"/>
          <w:marTop w:val="0"/>
          <w:marBottom w:val="0"/>
          <w:divBdr>
            <w:top w:val="none" w:sz="0" w:space="0" w:color="auto"/>
            <w:left w:val="none" w:sz="0" w:space="0" w:color="auto"/>
            <w:bottom w:val="none" w:sz="0" w:space="0" w:color="auto"/>
            <w:right w:val="none" w:sz="0" w:space="0" w:color="auto"/>
          </w:divBdr>
        </w:div>
      </w:divsChild>
    </w:div>
    <w:div w:id="796721385">
      <w:bodyDiv w:val="1"/>
      <w:marLeft w:val="0"/>
      <w:marRight w:val="0"/>
      <w:marTop w:val="0"/>
      <w:marBottom w:val="0"/>
      <w:divBdr>
        <w:top w:val="none" w:sz="0" w:space="0" w:color="auto"/>
        <w:left w:val="none" w:sz="0" w:space="0" w:color="auto"/>
        <w:bottom w:val="none" w:sz="0" w:space="0" w:color="auto"/>
        <w:right w:val="none" w:sz="0" w:space="0" w:color="auto"/>
      </w:divBdr>
    </w:div>
    <w:div w:id="797339603">
      <w:bodyDiv w:val="1"/>
      <w:marLeft w:val="0"/>
      <w:marRight w:val="0"/>
      <w:marTop w:val="0"/>
      <w:marBottom w:val="0"/>
      <w:divBdr>
        <w:top w:val="none" w:sz="0" w:space="0" w:color="auto"/>
        <w:left w:val="none" w:sz="0" w:space="0" w:color="auto"/>
        <w:bottom w:val="none" w:sz="0" w:space="0" w:color="auto"/>
        <w:right w:val="none" w:sz="0" w:space="0" w:color="auto"/>
      </w:divBdr>
    </w:div>
    <w:div w:id="800541486">
      <w:bodyDiv w:val="1"/>
      <w:marLeft w:val="0"/>
      <w:marRight w:val="0"/>
      <w:marTop w:val="0"/>
      <w:marBottom w:val="0"/>
      <w:divBdr>
        <w:top w:val="none" w:sz="0" w:space="0" w:color="auto"/>
        <w:left w:val="none" w:sz="0" w:space="0" w:color="auto"/>
        <w:bottom w:val="none" w:sz="0" w:space="0" w:color="auto"/>
        <w:right w:val="none" w:sz="0" w:space="0" w:color="auto"/>
      </w:divBdr>
    </w:div>
    <w:div w:id="801310945">
      <w:bodyDiv w:val="1"/>
      <w:marLeft w:val="0"/>
      <w:marRight w:val="0"/>
      <w:marTop w:val="0"/>
      <w:marBottom w:val="0"/>
      <w:divBdr>
        <w:top w:val="none" w:sz="0" w:space="0" w:color="auto"/>
        <w:left w:val="none" w:sz="0" w:space="0" w:color="auto"/>
        <w:bottom w:val="none" w:sz="0" w:space="0" w:color="auto"/>
        <w:right w:val="none" w:sz="0" w:space="0" w:color="auto"/>
      </w:divBdr>
    </w:div>
    <w:div w:id="809246500">
      <w:bodyDiv w:val="1"/>
      <w:marLeft w:val="0"/>
      <w:marRight w:val="0"/>
      <w:marTop w:val="0"/>
      <w:marBottom w:val="0"/>
      <w:divBdr>
        <w:top w:val="none" w:sz="0" w:space="0" w:color="auto"/>
        <w:left w:val="none" w:sz="0" w:space="0" w:color="auto"/>
        <w:bottom w:val="none" w:sz="0" w:space="0" w:color="auto"/>
        <w:right w:val="none" w:sz="0" w:space="0" w:color="auto"/>
      </w:divBdr>
    </w:div>
    <w:div w:id="813371065">
      <w:bodyDiv w:val="1"/>
      <w:marLeft w:val="0"/>
      <w:marRight w:val="0"/>
      <w:marTop w:val="0"/>
      <w:marBottom w:val="0"/>
      <w:divBdr>
        <w:top w:val="none" w:sz="0" w:space="0" w:color="auto"/>
        <w:left w:val="none" w:sz="0" w:space="0" w:color="auto"/>
        <w:bottom w:val="none" w:sz="0" w:space="0" w:color="auto"/>
        <w:right w:val="none" w:sz="0" w:space="0" w:color="auto"/>
      </w:divBdr>
    </w:div>
    <w:div w:id="836768204">
      <w:bodyDiv w:val="1"/>
      <w:marLeft w:val="0"/>
      <w:marRight w:val="0"/>
      <w:marTop w:val="0"/>
      <w:marBottom w:val="0"/>
      <w:divBdr>
        <w:top w:val="none" w:sz="0" w:space="0" w:color="auto"/>
        <w:left w:val="none" w:sz="0" w:space="0" w:color="auto"/>
        <w:bottom w:val="none" w:sz="0" w:space="0" w:color="auto"/>
        <w:right w:val="none" w:sz="0" w:space="0" w:color="auto"/>
      </w:divBdr>
    </w:div>
    <w:div w:id="840848636">
      <w:bodyDiv w:val="1"/>
      <w:marLeft w:val="0"/>
      <w:marRight w:val="0"/>
      <w:marTop w:val="0"/>
      <w:marBottom w:val="0"/>
      <w:divBdr>
        <w:top w:val="none" w:sz="0" w:space="0" w:color="auto"/>
        <w:left w:val="none" w:sz="0" w:space="0" w:color="auto"/>
        <w:bottom w:val="none" w:sz="0" w:space="0" w:color="auto"/>
        <w:right w:val="none" w:sz="0" w:space="0" w:color="auto"/>
      </w:divBdr>
    </w:div>
    <w:div w:id="842938041">
      <w:bodyDiv w:val="1"/>
      <w:marLeft w:val="0"/>
      <w:marRight w:val="0"/>
      <w:marTop w:val="0"/>
      <w:marBottom w:val="0"/>
      <w:divBdr>
        <w:top w:val="none" w:sz="0" w:space="0" w:color="auto"/>
        <w:left w:val="none" w:sz="0" w:space="0" w:color="auto"/>
        <w:bottom w:val="none" w:sz="0" w:space="0" w:color="auto"/>
        <w:right w:val="none" w:sz="0" w:space="0" w:color="auto"/>
      </w:divBdr>
    </w:div>
    <w:div w:id="843014507">
      <w:bodyDiv w:val="1"/>
      <w:marLeft w:val="0"/>
      <w:marRight w:val="0"/>
      <w:marTop w:val="0"/>
      <w:marBottom w:val="0"/>
      <w:divBdr>
        <w:top w:val="none" w:sz="0" w:space="0" w:color="auto"/>
        <w:left w:val="none" w:sz="0" w:space="0" w:color="auto"/>
        <w:bottom w:val="none" w:sz="0" w:space="0" w:color="auto"/>
        <w:right w:val="none" w:sz="0" w:space="0" w:color="auto"/>
      </w:divBdr>
    </w:div>
    <w:div w:id="843860200">
      <w:bodyDiv w:val="1"/>
      <w:marLeft w:val="0"/>
      <w:marRight w:val="0"/>
      <w:marTop w:val="0"/>
      <w:marBottom w:val="0"/>
      <w:divBdr>
        <w:top w:val="none" w:sz="0" w:space="0" w:color="auto"/>
        <w:left w:val="none" w:sz="0" w:space="0" w:color="auto"/>
        <w:bottom w:val="none" w:sz="0" w:space="0" w:color="auto"/>
        <w:right w:val="none" w:sz="0" w:space="0" w:color="auto"/>
      </w:divBdr>
    </w:div>
    <w:div w:id="852063282">
      <w:bodyDiv w:val="1"/>
      <w:marLeft w:val="0"/>
      <w:marRight w:val="0"/>
      <w:marTop w:val="0"/>
      <w:marBottom w:val="0"/>
      <w:divBdr>
        <w:top w:val="none" w:sz="0" w:space="0" w:color="auto"/>
        <w:left w:val="none" w:sz="0" w:space="0" w:color="auto"/>
        <w:bottom w:val="none" w:sz="0" w:space="0" w:color="auto"/>
        <w:right w:val="none" w:sz="0" w:space="0" w:color="auto"/>
      </w:divBdr>
    </w:div>
    <w:div w:id="854658193">
      <w:bodyDiv w:val="1"/>
      <w:marLeft w:val="0"/>
      <w:marRight w:val="0"/>
      <w:marTop w:val="0"/>
      <w:marBottom w:val="0"/>
      <w:divBdr>
        <w:top w:val="none" w:sz="0" w:space="0" w:color="auto"/>
        <w:left w:val="none" w:sz="0" w:space="0" w:color="auto"/>
        <w:bottom w:val="none" w:sz="0" w:space="0" w:color="auto"/>
        <w:right w:val="none" w:sz="0" w:space="0" w:color="auto"/>
      </w:divBdr>
    </w:div>
    <w:div w:id="859049556">
      <w:bodyDiv w:val="1"/>
      <w:marLeft w:val="0"/>
      <w:marRight w:val="0"/>
      <w:marTop w:val="0"/>
      <w:marBottom w:val="0"/>
      <w:divBdr>
        <w:top w:val="none" w:sz="0" w:space="0" w:color="auto"/>
        <w:left w:val="none" w:sz="0" w:space="0" w:color="auto"/>
        <w:bottom w:val="none" w:sz="0" w:space="0" w:color="auto"/>
        <w:right w:val="none" w:sz="0" w:space="0" w:color="auto"/>
      </w:divBdr>
    </w:div>
    <w:div w:id="864295706">
      <w:bodyDiv w:val="1"/>
      <w:marLeft w:val="0"/>
      <w:marRight w:val="0"/>
      <w:marTop w:val="0"/>
      <w:marBottom w:val="0"/>
      <w:divBdr>
        <w:top w:val="none" w:sz="0" w:space="0" w:color="auto"/>
        <w:left w:val="none" w:sz="0" w:space="0" w:color="auto"/>
        <w:bottom w:val="none" w:sz="0" w:space="0" w:color="auto"/>
        <w:right w:val="none" w:sz="0" w:space="0" w:color="auto"/>
      </w:divBdr>
    </w:div>
    <w:div w:id="868949849">
      <w:bodyDiv w:val="1"/>
      <w:marLeft w:val="0"/>
      <w:marRight w:val="0"/>
      <w:marTop w:val="0"/>
      <w:marBottom w:val="0"/>
      <w:divBdr>
        <w:top w:val="none" w:sz="0" w:space="0" w:color="auto"/>
        <w:left w:val="none" w:sz="0" w:space="0" w:color="auto"/>
        <w:bottom w:val="none" w:sz="0" w:space="0" w:color="auto"/>
        <w:right w:val="none" w:sz="0" w:space="0" w:color="auto"/>
      </w:divBdr>
    </w:div>
    <w:div w:id="872695467">
      <w:bodyDiv w:val="1"/>
      <w:marLeft w:val="0"/>
      <w:marRight w:val="0"/>
      <w:marTop w:val="0"/>
      <w:marBottom w:val="0"/>
      <w:divBdr>
        <w:top w:val="none" w:sz="0" w:space="0" w:color="auto"/>
        <w:left w:val="none" w:sz="0" w:space="0" w:color="auto"/>
        <w:bottom w:val="none" w:sz="0" w:space="0" w:color="auto"/>
        <w:right w:val="none" w:sz="0" w:space="0" w:color="auto"/>
      </w:divBdr>
    </w:div>
    <w:div w:id="873888397">
      <w:bodyDiv w:val="1"/>
      <w:marLeft w:val="0"/>
      <w:marRight w:val="0"/>
      <w:marTop w:val="0"/>
      <w:marBottom w:val="0"/>
      <w:divBdr>
        <w:top w:val="none" w:sz="0" w:space="0" w:color="auto"/>
        <w:left w:val="none" w:sz="0" w:space="0" w:color="auto"/>
        <w:bottom w:val="none" w:sz="0" w:space="0" w:color="auto"/>
        <w:right w:val="none" w:sz="0" w:space="0" w:color="auto"/>
      </w:divBdr>
    </w:div>
    <w:div w:id="875780417">
      <w:bodyDiv w:val="1"/>
      <w:marLeft w:val="0"/>
      <w:marRight w:val="0"/>
      <w:marTop w:val="0"/>
      <w:marBottom w:val="0"/>
      <w:divBdr>
        <w:top w:val="none" w:sz="0" w:space="0" w:color="auto"/>
        <w:left w:val="none" w:sz="0" w:space="0" w:color="auto"/>
        <w:bottom w:val="none" w:sz="0" w:space="0" w:color="auto"/>
        <w:right w:val="none" w:sz="0" w:space="0" w:color="auto"/>
      </w:divBdr>
    </w:div>
    <w:div w:id="877476242">
      <w:bodyDiv w:val="1"/>
      <w:marLeft w:val="0"/>
      <w:marRight w:val="0"/>
      <w:marTop w:val="0"/>
      <w:marBottom w:val="0"/>
      <w:divBdr>
        <w:top w:val="none" w:sz="0" w:space="0" w:color="auto"/>
        <w:left w:val="none" w:sz="0" w:space="0" w:color="auto"/>
        <w:bottom w:val="none" w:sz="0" w:space="0" w:color="auto"/>
        <w:right w:val="none" w:sz="0" w:space="0" w:color="auto"/>
      </w:divBdr>
    </w:div>
    <w:div w:id="880165321">
      <w:bodyDiv w:val="1"/>
      <w:marLeft w:val="0"/>
      <w:marRight w:val="0"/>
      <w:marTop w:val="0"/>
      <w:marBottom w:val="0"/>
      <w:divBdr>
        <w:top w:val="none" w:sz="0" w:space="0" w:color="auto"/>
        <w:left w:val="none" w:sz="0" w:space="0" w:color="auto"/>
        <w:bottom w:val="none" w:sz="0" w:space="0" w:color="auto"/>
        <w:right w:val="none" w:sz="0" w:space="0" w:color="auto"/>
      </w:divBdr>
      <w:divsChild>
        <w:div w:id="146090425">
          <w:marLeft w:val="0"/>
          <w:marRight w:val="0"/>
          <w:marTop w:val="0"/>
          <w:marBottom w:val="0"/>
          <w:divBdr>
            <w:top w:val="none" w:sz="0" w:space="0" w:color="auto"/>
            <w:left w:val="none" w:sz="0" w:space="0" w:color="auto"/>
            <w:bottom w:val="none" w:sz="0" w:space="0" w:color="auto"/>
            <w:right w:val="none" w:sz="0" w:space="0" w:color="auto"/>
          </w:divBdr>
        </w:div>
      </w:divsChild>
    </w:div>
    <w:div w:id="893155077">
      <w:bodyDiv w:val="1"/>
      <w:marLeft w:val="0"/>
      <w:marRight w:val="0"/>
      <w:marTop w:val="0"/>
      <w:marBottom w:val="0"/>
      <w:divBdr>
        <w:top w:val="none" w:sz="0" w:space="0" w:color="auto"/>
        <w:left w:val="none" w:sz="0" w:space="0" w:color="auto"/>
        <w:bottom w:val="none" w:sz="0" w:space="0" w:color="auto"/>
        <w:right w:val="none" w:sz="0" w:space="0" w:color="auto"/>
      </w:divBdr>
      <w:divsChild>
        <w:div w:id="1107045030">
          <w:marLeft w:val="0"/>
          <w:marRight w:val="0"/>
          <w:marTop w:val="0"/>
          <w:marBottom w:val="0"/>
          <w:divBdr>
            <w:top w:val="none" w:sz="0" w:space="0" w:color="auto"/>
            <w:left w:val="none" w:sz="0" w:space="0" w:color="auto"/>
            <w:bottom w:val="none" w:sz="0" w:space="0" w:color="auto"/>
            <w:right w:val="none" w:sz="0" w:space="0" w:color="auto"/>
          </w:divBdr>
        </w:div>
      </w:divsChild>
    </w:div>
    <w:div w:id="894394626">
      <w:bodyDiv w:val="1"/>
      <w:marLeft w:val="0"/>
      <w:marRight w:val="0"/>
      <w:marTop w:val="0"/>
      <w:marBottom w:val="0"/>
      <w:divBdr>
        <w:top w:val="none" w:sz="0" w:space="0" w:color="auto"/>
        <w:left w:val="none" w:sz="0" w:space="0" w:color="auto"/>
        <w:bottom w:val="none" w:sz="0" w:space="0" w:color="auto"/>
        <w:right w:val="none" w:sz="0" w:space="0" w:color="auto"/>
      </w:divBdr>
    </w:div>
    <w:div w:id="896166974">
      <w:bodyDiv w:val="1"/>
      <w:marLeft w:val="0"/>
      <w:marRight w:val="0"/>
      <w:marTop w:val="0"/>
      <w:marBottom w:val="0"/>
      <w:divBdr>
        <w:top w:val="none" w:sz="0" w:space="0" w:color="auto"/>
        <w:left w:val="none" w:sz="0" w:space="0" w:color="auto"/>
        <w:bottom w:val="none" w:sz="0" w:space="0" w:color="auto"/>
        <w:right w:val="none" w:sz="0" w:space="0" w:color="auto"/>
      </w:divBdr>
    </w:div>
    <w:div w:id="897597268">
      <w:bodyDiv w:val="1"/>
      <w:marLeft w:val="0"/>
      <w:marRight w:val="0"/>
      <w:marTop w:val="0"/>
      <w:marBottom w:val="0"/>
      <w:divBdr>
        <w:top w:val="none" w:sz="0" w:space="0" w:color="auto"/>
        <w:left w:val="none" w:sz="0" w:space="0" w:color="auto"/>
        <w:bottom w:val="none" w:sz="0" w:space="0" w:color="auto"/>
        <w:right w:val="none" w:sz="0" w:space="0" w:color="auto"/>
      </w:divBdr>
      <w:divsChild>
        <w:div w:id="107243959">
          <w:marLeft w:val="300"/>
          <w:marRight w:val="0"/>
          <w:marTop w:val="150"/>
          <w:marBottom w:val="150"/>
          <w:divBdr>
            <w:top w:val="none" w:sz="0" w:space="0" w:color="auto"/>
            <w:left w:val="none" w:sz="0" w:space="0" w:color="auto"/>
            <w:bottom w:val="none" w:sz="0" w:space="0" w:color="auto"/>
            <w:right w:val="none" w:sz="0" w:space="0" w:color="auto"/>
          </w:divBdr>
        </w:div>
      </w:divsChild>
    </w:div>
    <w:div w:id="899243864">
      <w:bodyDiv w:val="1"/>
      <w:marLeft w:val="0"/>
      <w:marRight w:val="0"/>
      <w:marTop w:val="0"/>
      <w:marBottom w:val="0"/>
      <w:divBdr>
        <w:top w:val="none" w:sz="0" w:space="0" w:color="auto"/>
        <w:left w:val="none" w:sz="0" w:space="0" w:color="auto"/>
        <w:bottom w:val="none" w:sz="0" w:space="0" w:color="auto"/>
        <w:right w:val="none" w:sz="0" w:space="0" w:color="auto"/>
      </w:divBdr>
    </w:div>
    <w:div w:id="901524446">
      <w:bodyDiv w:val="1"/>
      <w:marLeft w:val="0"/>
      <w:marRight w:val="0"/>
      <w:marTop w:val="0"/>
      <w:marBottom w:val="0"/>
      <w:divBdr>
        <w:top w:val="none" w:sz="0" w:space="0" w:color="auto"/>
        <w:left w:val="none" w:sz="0" w:space="0" w:color="auto"/>
        <w:bottom w:val="none" w:sz="0" w:space="0" w:color="auto"/>
        <w:right w:val="none" w:sz="0" w:space="0" w:color="auto"/>
      </w:divBdr>
    </w:div>
    <w:div w:id="902912870">
      <w:bodyDiv w:val="1"/>
      <w:marLeft w:val="0"/>
      <w:marRight w:val="0"/>
      <w:marTop w:val="0"/>
      <w:marBottom w:val="0"/>
      <w:divBdr>
        <w:top w:val="none" w:sz="0" w:space="0" w:color="auto"/>
        <w:left w:val="none" w:sz="0" w:space="0" w:color="auto"/>
        <w:bottom w:val="none" w:sz="0" w:space="0" w:color="auto"/>
        <w:right w:val="none" w:sz="0" w:space="0" w:color="auto"/>
      </w:divBdr>
    </w:div>
    <w:div w:id="902984377">
      <w:bodyDiv w:val="1"/>
      <w:marLeft w:val="0"/>
      <w:marRight w:val="0"/>
      <w:marTop w:val="0"/>
      <w:marBottom w:val="0"/>
      <w:divBdr>
        <w:top w:val="none" w:sz="0" w:space="0" w:color="auto"/>
        <w:left w:val="none" w:sz="0" w:space="0" w:color="auto"/>
        <w:bottom w:val="none" w:sz="0" w:space="0" w:color="auto"/>
        <w:right w:val="none" w:sz="0" w:space="0" w:color="auto"/>
      </w:divBdr>
    </w:div>
    <w:div w:id="912003796">
      <w:bodyDiv w:val="1"/>
      <w:marLeft w:val="0"/>
      <w:marRight w:val="0"/>
      <w:marTop w:val="0"/>
      <w:marBottom w:val="0"/>
      <w:divBdr>
        <w:top w:val="none" w:sz="0" w:space="0" w:color="auto"/>
        <w:left w:val="none" w:sz="0" w:space="0" w:color="auto"/>
        <w:bottom w:val="none" w:sz="0" w:space="0" w:color="auto"/>
        <w:right w:val="none" w:sz="0" w:space="0" w:color="auto"/>
      </w:divBdr>
    </w:div>
    <w:div w:id="914246569">
      <w:bodyDiv w:val="1"/>
      <w:marLeft w:val="0"/>
      <w:marRight w:val="0"/>
      <w:marTop w:val="0"/>
      <w:marBottom w:val="0"/>
      <w:divBdr>
        <w:top w:val="none" w:sz="0" w:space="0" w:color="auto"/>
        <w:left w:val="none" w:sz="0" w:space="0" w:color="auto"/>
        <w:bottom w:val="none" w:sz="0" w:space="0" w:color="auto"/>
        <w:right w:val="none" w:sz="0" w:space="0" w:color="auto"/>
      </w:divBdr>
    </w:div>
    <w:div w:id="921138529">
      <w:bodyDiv w:val="1"/>
      <w:marLeft w:val="0"/>
      <w:marRight w:val="0"/>
      <w:marTop w:val="0"/>
      <w:marBottom w:val="0"/>
      <w:divBdr>
        <w:top w:val="none" w:sz="0" w:space="0" w:color="auto"/>
        <w:left w:val="none" w:sz="0" w:space="0" w:color="auto"/>
        <w:bottom w:val="none" w:sz="0" w:space="0" w:color="auto"/>
        <w:right w:val="none" w:sz="0" w:space="0" w:color="auto"/>
      </w:divBdr>
    </w:div>
    <w:div w:id="927423427">
      <w:bodyDiv w:val="1"/>
      <w:marLeft w:val="0"/>
      <w:marRight w:val="0"/>
      <w:marTop w:val="0"/>
      <w:marBottom w:val="0"/>
      <w:divBdr>
        <w:top w:val="none" w:sz="0" w:space="0" w:color="auto"/>
        <w:left w:val="none" w:sz="0" w:space="0" w:color="auto"/>
        <w:bottom w:val="none" w:sz="0" w:space="0" w:color="auto"/>
        <w:right w:val="none" w:sz="0" w:space="0" w:color="auto"/>
      </w:divBdr>
    </w:div>
    <w:div w:id="927956476">
      <w:bodyDiv w:val="1"/>
      <w:marLeft w:val="0"/>
      <w:marRight w:val="0"/>
      <w:marTop w:val="0"/>
      <w:marBottom w:val="0"/>
      <w:divBdr>
        <w:top w:val="none" w:sz="0" w:space="0" w:color="auto"/>
        <w:left w:val="none" w:sz="0" w:space="0" w:color="auto"/>
        <w:bottom w:val="none" w:sz="0" w:space="0" w:color="auto"/>
        <w:right w:val="none" w:sz="0" w:space="0" w:color="auto"/>
      </w:divBdr>
    </w:div>
    <w:div w:id="930816571">
      <w:bodyDiv w:val="1"/>
      <w:marLeft w:val="0"/>
      <w:marRight w:val="0"/>
      <w:marTop w:val="0"/>
      <w:marBottom w:val="0"/>
      <w:divBdr>
        <w:top w:val="none" w:sz="0" w:space="0" w:color="auto"/>
        <w:left w:val="none" w:sz="0" w:space="0" w:color="auto"/>
        <w:bottom w:val="none" w:sz="0" w:space="0" w:color="auto"/>
        <w:right w:val="none" w:sz="0" w:space="0" w:color="auto"/>
      </w:divBdr>
    </w:div>
    <w:div w:id="934287721">
      <w:bodyDiv w:val="1"/>
      <w:marLeft w:val="0"/>
      <w:marRight w:val="0"/>
      <w:marTop w:val="0"/>
      <w:marBottom w:val="0"/>
      <w:divBdr>
        <w:top w:val="none" w:sz="0" w:space="0" w:color="auto"/>
        <w:left w:val="none" w:sz="0" w:space="0" w:color="auto"/>
        <w:bottom w:val="none" w:sz="0" w:space="0" w:color="auto"/>
        <w:right w:val="none" w:sz="0" w:space="0" w:color="auto"/>
      </w:divBdr>
    </w:div>
    <w:div w:id="934558519">
      <w:bodyDiv w:val="1"/>
      <w:marLeft w:val="0"/>
      <w:marRight w:val="0"/>
      <w:marTop w:val="0"/>
      <w:marBottom w:val="0"/>
      <w:divBdr>
        <w:top w:val="none" w:sz="0" w:space="0" w:color="auto"/>
        <w:left w:val="none" w:sz="0" w:space="0" w:color="auto"/>
        <w:bottom w:val="none" w:sz="0" w:space="0" w:color="auto"/>
        <w:right w:val="none" w:sz="0" w:space="0" w:color="auto"/>
      </w:divBdr>
      <w:divsChild>
        <w:div w:id="509180027">
          <w:marLeft w:val="0"/>
          <w:marRight w:val="0"/>
          <w:marTop w:val="0"/>
          <w:marBottom w:val="0"/>
          <w:divBdr>
            <w:top w:val="none" w:sz="0" w:space="0" w:color="auto"/>
            <w:left w:val="none" w:sz="0" w:space="0" w:color="auto"/>
            <w:bottom w:val="none" w:sz="0" w:space="0" w:color="auto"/>
            <w:right w:val="none" w:sz="0" w:space="0" w:color="auto"/>
          </w:divBdr>
        </w:div>
      </w:divsChild>
    </w:div>
    <w:div w:id="937063117">
      <w:bodyDiv w:val="1"/>
      <w:marLeft w:val="0"/>
      <w:marRight w:val="0"/>
      <w:marTop w:val="0"/>
      <w:marBottom w:val="0"/>
      <w:divBdr>
        <w:top w:val="none" w:sz="0" w:space="0" w:color="auto"/>
        <w:left w:val="none" w:sz="0" w:space="0" w:color="auto"/>
        <w:bottom w:val="none" w:sz="0" w:space="0" w:color="auto"/>
        <w:right w:val="none" w:sz="0" w:space="0" w:color="auto"/>
      </w:divBdr>
    </w:div>
    <w:div w:id="938173809">
      <w:bodyDiv w:val="1"/>
      <w:marLeft w:val="0"/>
      <w:marRight w:val="0"/>
      <w:marTop w:val="0"/>
      <w:marBottom w:val="0"/>
      <w:divBdr>
        <w:top w:val="none" w:sz="0" w:space="0" w:color="auto"/>
        <w:left w:val="none" w:sz="0" w:space="0" w:color="auto"/>
        <w:bottom w:val="none" w:sz="0" w:space="0" w:color="auto"/>
        <w:right w:val="none" w:sz="0" w:space="0" w:color="auto"/>
      </w:divBdr>
    </w:div>
    <w:div w:id="942107924">
      <w:bodyDiv w:val="1"/>
      <w:marLeft w:val="0"/>
      <w:marRight w:val="0"/>
      <w:marTop w:val="0"/>
      <w:marBottom w:val="0"/>
      <w:divBdr>
        <w:top w:val="none" w:sz="0" w:space="0" w:color="auto"/>
        <w:left w:val="none" w:sz="0" w:space="0" w:color="auto"/>
        <w:bottom w:val="none" w:sz="0" w:space="0" w:color="auto"/>
        <w:right w:val="none" w:sz="0" w:space="0" w:color="auto"/>
      </w:divBdr>
    </w:div>
    <w:div w:id="947395614">
      <w:bodyDiv w:val="1"/>
      <w:marLeft w:val="0"/>
      <w:marRight w:val="0"/>
      <w:marTop w:val="0"/>
      <w:marBottom w:val="0"/>
      <w:divBdr>
        <w:top w:val="none" w:sz="0" w:space="0" w:color="auto"/>
        <w:left w:val="none" w:sz="0" w:space="0" w:color="auto"/>
        <w:bottom w:val="none" w:sz="0" w:space="0" w:color="auto"/>
        <w:right w:val="none" w:sz="0" w:space="0" w:color="auto"/>
      </w:divBdr>
    </w:div>
    <w:div w:id="948321562">
      <w:bodyDiv w:val="1"/>
      <w:marLeft w:val="0"/>
      <w:marRight w:val="0"/>
      <w:marTop w:val="0"/>
      <w:marBottom w:val="0"/>
      <w:divBdr>
        <w:top w:val="none" w:sz="0" w:space="0" w:color="auto"/>
        <w:left w:val="none" w:sz="0" w:space="0" w:color="auto"/>
        <w:bottom w:val="none" w:sz="0" w:space="0" w:color="auto"/>
        <w:right w:val="none" w:sz="0" w:space="0" w:color="auto"/>
      </w:divBdr>
    </w:div>
    <w:div w:id="951205456">
      <w:bodyDiv w:val="1"/>
      <w:marLeft w:val="0"/>
      <w:marRight w:val="0"/>
      <w:marTop w:val="0"/>
      <w:marBottom w:val="0"/>
      <w:divBdr>
        <w:top w:val="none" w:sz="0" w:space="0" w:color="auto"/>
        <w:left w:val="none" w:sz="0" w:space="0" w:color="auto"/>
        <w:bottom w:val="none" w:sz="0" w:space="0" w:color="auto"/>
        <w:right w:val="none" w:sz="0" w:space="0" w:color="auto"/>
      </w:divBdr>
    </w:div>
    <w:div w:id="985931694">
      <w:bodyDiv w:val="1"/>
      <w:marLeft w:val="0"/>
      <w:marRight w:val="0"/>
      <w:marTop w:val="0"/>
      <w:marBottom w:val="0"/>
      <w:divBdr>
        <w:top w:val="none" w:sz="0" w:space="0" w:color="auto"/>
        <w:left w:val="none" w:sz="0" w:space="0" w:color="auto"/>
        <w:bottom w:val="none" w:sz="0" w:space="0" w:color="auto"/>
        <w:right w:val="none" w:sz="0" w:space="0" w:color="auto"/>
      </w:divBdr>
    </w:div>
    <w:div w:id="992223847">
      <w:bodyDiv w:val="1"/>
      <w:marLeft w:val="0"/>
      <w:marRight w:val="0"/>
      <w:marTop w:val="0"/>
      <w:marBottom w:val="0"/>
      <w:divBdr>
        <w:top w:val="none" w:sz="0" w:space="0" w:color="auto"/>
        <w:left w:val="none" w:sz="0" w:space="0" w:color="auto"/>
        <w:bottom w:val="none" w:sz="0" w:space="0" w:color="auto"/>
        <w:right w:val="none" w:sz="0" w:space="0" w:color="auto"/>
      </w:divBdr>
    </w:div>
    <w:div w:id="996571354">
      <w:bodyDiv w:val="1"/>
      <w:marLeft w:val="0"/>
      <w:marRight w:val="0"/>
      <w:marTop w:val="0"/>
      <w:marBottom w:val="0"/>
      <w:divBdr>
        <w:top w:val="none" w:sz="0" w:space="0" w:color="auto"/>
        <w:left w:val="none" w:sz="0" w:space="0" w:color="auto"/>
        <w:bottom w:val="none" w:sz="0" w:space="0" w:color="auto"/>
        <w:right w:val="none" w:sz="0" w:space="0" w:color="auto"/>
      </w:divBdr>
    </w:div>
    <w:div w:id="998460014">
      <w:bodyDiv w:val="1"/>
      <w:marLeft w:val="0"/>
      <w:marRight w:val="0"/>
      <w:marTop w:val="0"/>
      <w:marBottom w:val="0"/>
      <w:divBdr>
        <w:top w:val="none" w:sz="0" w:space="0" w:color="auto"/>
        <w:left w:val="none" w:sz="0" w:space="0" w:color="auto"/>
        <w:bottom w:val="none" w:sz="0" w:space="0" w:color="auto"/>
        <w:right w:val="none" w:sz="0" w:space="0" w:color="auto"/>
      </w:divBdr>
    </w:div>
    <w:div w:id="1003244961">
      <w:bodyDiv w:val="1"/>
      <w:marLeft w:val="0"/>
      <w:marRight w:val="0"/>
      <w:marTop w:val="0"/>
      <w:marBottom w:val="0"/>
      <w:divBdr>
        <w:top w:val="none" w:sz="0" w:space="0" w:color="auto"/>
        <w:left w:val="none" w:sz="0" w:space="0" w:color="auto"/>
        <w:bottom w:val="none" w:sz="0" w:space="0" w:color="auto"/>
        <w:right w:val="none" w:sz="0" w:space="0" w:color="auto"/>
      </w:divBdr>
    </w:div>
    <w:div w:id="1005940694">
      <w:bodyDiv w:val="1"/>
      <w:marLeft w:val="0"/>
      <w:marRight w:val="0"/>
      <w:marTop w:val="0"/>
      <w:marBottom w:val="0"/>
      <w:divBdr>
        <w:top w:val="none" w:sz="0" w:space="0" w:color="auto"/>
        <w:left w:val="none" w:sz="0" w:space="0" w:color="auto"/>
        <w:bottom w:val="none" w:sz="0" w:space="0" w:color="auto"/>
        <w:right w:val="none" w:sz="0" w:space="0" w:color="auto"/>
      </w:divBdr>
    </w:div>
    <w:div w:id="1007446352">
      <w:bodyDiv w:val="1"/>
      <w:marLeft w:val="0"/>
      <w:marRight w:val="0"/>
      <w:marTop w:val="0"/>
      <w:marBottom w:val="0"/>
      <w:divBdr>
        <w:top w:val="none" w:sz="0" w:space="0" w:color="auto"/>
        <w:left w:val="none" w:sz="0" w:space="0" w:color="auto"/>
        <w:bottom w:val="none" w:sz="0" w:space="0" w:color="auto"/>
        <w:right w:val="none" w:sz="0" w:space="0" w:color="auto"/>
      </w:divBdr>
      <w:divsChild>
        <w:div w:id="2031182493">
          <w:marLeft w:val="0"/>
          <w:marRight w:val="0"/>
          <w:marTop w:val="0"/>
          <w:marBottom w:val="0"/>
          <w:divBdr>
            <w:top w:val="none" w:sz="0" w:space="0" w:color="auto"/>
            <w:left w:val="none" w:sz="0" w:space="0" w:color="auto"/>
            <w:bottom w:val="none" w:sz="0" w:space="0" w:color="auto"/>
            <w:right w:val="none" w:sz="0" w:space="0" w:color="auto"/>
          </w:divBdr>
        </w:div>
      </w:divsChild>
    </w:div>
    <w:div w:id="1009017770">
      <w:bodyDiv w:val="1"/>
      <w:marLeft w:val="0"/>
      <w:marRight w:val="0"/>
      <w:marTop w:val="0"/>
      <w:marBottom w:val="0"/>
      <w:divBdr>
        <w:top w:val="none" w:sz="0" w:space="0" w:color="auto"/>
        <w:left w:val="none" w:sz="0" w:space="0" w:color="auto"/>
        <w:bottom w:val="none" w:sz="0" w:space="0" w:color="auto"/>
        <w:right w:val="none" w:sz="0" w:space="0" w:color="auto"/>
      </w:divBdr>
    </w:div>
    <w:div w:id="1015301282">
      <w:bodyDiv w:val="1"/>
      <w:marLeft w:val="0"/>
      <w:marRight w:val="0"/>
      <w:marTop w:val="0"/>
      <w:marBottom w:val="0"/>
      <w:divBdr>
        <w:top w:val="none" w:sz="0" w:space="0" w:color="auto"/>
        <w:left w:val="none" w:sz="0" w:space="0" w:color="auto"/>
        <w:bottom w:val="none" w:sz="0" w:space="0" w:color="auto"/>
        <w:right w:val="none" w:sz="0" w:space="0" w:color="auto"/>
      </w:divBdr>
    </w:div>
    <w:div w:id="1016275261">
      <w:bodyDiv w:val="1"/>
      <w:marLeft w:val="0"/>
      <w:marRight w:val="0"/>
      <w:marTop w:val="0"/>
      <w:marBottom w:val="0"/>
      <w:divBdr>
        <w:top w:val="none" w:sz="0" w:space="0" w:color="auto"/>
        <w:left w:val="none" w:sz="0" w:space="0" w:color="auto"/>
        <w:bottom w:val="none" w:sz="0" w:space="0" w:color="auto"/>
        <w:right w:val="none" w:sz="0" w:space="0" w:color="auto"/>
      </w:divBdr>
    </w:div>
    <w:div w:id="1019549007">
      <w:bodyDiv w:val="1"/>
      <w:marLeft w:val="0"/>
      <w:marRight w:val="0"/>
      <w:marTop w:val="0"/>
      <w:marBottom w:val="0"/>
      <w:divBdr>
        <w:top w:val="none" w:sz="0" w:space="0" w:color="auto"/>
        <w:left w:val="none" w:sz="0" w:space="0" w:color="auto"/>
        <w:bottom w:val="none" w:sz="0" w:space="0" w:color="auto"/>
        <w:right w:val="none" w:sz="0" w:space="0" w:color="auto"/>
      </w:divBdr>
    </w:div>
    <w:div w:id="1021592778">
      <w:bodyDiv w:val="1"/>
      <w:marLeft w:val="0"/>
      <w:marRight w:val="0"/>
      <w:marTop w:val="0"/>
      <w:marBottom w:val="0"/>
      <w:divBdr>
        <w:top w:val="none" w:sz="0" w:space="0" w:color="auto"/>
        <w:left w:val="none" w:sz="0" w:space="0" w:color="auto"/>
        <w:bottom w:val="none" w:sz="0" w:space="0" w:color="auto"/>
        <w:right w:val="none" w:sz="0" w:space="0" w:color="auto"/>
      </w:divBdr>
    </w:div>
    <w:div w:id="1031370926">
      <w:bodyDiv w:val="1"/>
      <w:marLeft w:val="0"/>
      <w:marRight w:val="0"/>
      <w:marTop w:val="0"/>
      <w:marBottom w:val="0"/>
      <w:divBdr>
        <w:top w:val="none" w:sz="0" w:space="0" w:color="auto"/>
        <w:left w:val="none" w:sz="0" w:space="0" w:color="auto"/>
        <w:bottom w:val="none" w:sz="0" w:space="0" w:color="auto"/>
        <w:right w:val="none" w:sz="0" w:space="0" w:color="auto"/>
      </w:divBdr>
    </w:div>
    <w:div w:id="1036004804">
      <w:bodyDiv w:val="1"/>
      <w:marLeft w:val="0"/>
      <w:marRight w:val="0"/>
      <w:marTop w:val="0"/>
      <w:marBottom w:val="0"/>
      <w:divBdr>
        <w:top w:val="none" w:sz="0" w:space="0" w:color="auto"/>
        <w:left w:val="none" w:sz="0" w:space="0" w:color="auto"/>
        <w:bottom w:val="none" w:sz="0" w:space="0" w:color="auto"/>
        <w:right w:val="none" w:sz="0" w:space="0" w:color="auto"/>
      </w:divBdr>
    </w:div>
    <w:div w:id="1041437949">
      <w:bodyDiv w:val="1"/>
      <w:marLeft w:val="0"/>
      <w:marRight w:val="0"/>
      <w:marTop w:val="0"/>
      <w:marBottom w:val="0"/>
      <w:divBdr>
        <w:top w:val="none" w:sz="0" w:space="0" w:color="auto"/>
        <w:left w:val="none" w:sz="0" w:space="0" w:color="auto"/>
        <w:bottom w:val="none" w:sz="0" w:space="0" w:color="auto"/>
        <w:right w:val="none" w:sz="0" w:space="0" w:color="auto"/>
      </w:divBdr>
      <w:divsChild>
        <w:div w:id="1703244432">
          <w:marLeft w:val="0"/>
          <w:marRight w:val="0"/>
          <w:marTop w:val="0"/>
          <w:marBottom w:val="0"/>
          <w:divBdr>
            <w:top w:val="none" w:sz="0" w:space="0" w:color="auto"/>
            <w:left w:val="none" w:sz="0" w:space="0" w:color="auto"/>
            <w:bottom w:val="single" w:sz="12" w:space="0" w:color="F5F8FA"/>
            <w:right w:val="none" w:sz="0" w:space="0" w:color="auto"/>
          </w:divBdr>
        </w:div>
        <w:div w:id="1639603008">
          <w:marLeft w:val="0"/>
          <w:marRight w:val="0"/>
          <w:marTop w:val="0"/>
          <w:marBottom w:val="0"/>
          <w:divBdr>
            <w:top w:val="none" w:sz="0" w:space="0" w:color="auto"/>
            <w:left w:val="none" w:sz="0" w:space="0" w:color="auto"/>
            <w:bottom w:val="none" w:sz="0" w:space="0" w:color="auto"/>
            <w:right w:val="none" w:sz="0" w:space="0" w:color="auto"/>
          </w:divBdr>
          <w:divsChild>
            <w:div w:id="7920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4081">
      <w:bodyDiv w:val="1"/>
      <w:marLeft w:val="0"/>
      <w:marRight w:val="0"/>
      <w:marTop w:val="0"/>
      <w:marBottom w:val="0"/>
      <w:divBdr>
        <w:top w:val="none" w:sz="0" w:space="0" w:color="auto"/>
        <w:left w:val="none" w:sz="0" w:space="0" w:color="auto"/>
        <w:bottom w:val="none" w:sz="0" w:space="0" w:color="auto"/>
        <w:right w:val="none" w:sz="0" w:space="0" w:color="auto"/>
      </w:divBdr>
    </w:div>
    <w:div w:id="1047098001">
      <w:bodyDiv w:val="1"/>
      <w:marLeft w:val="0"/>
      <w:marRight w:val="0"/>
      <w:marTop w:val="0"/>
      <w:marBottom w:val="0"/>
      <w:divBdr>
        <w:top w:val="none" w:sz="0" w:space="0" w:color="auto"/>
        <w:left w:val="none" w:sz="0" w:space="0" w:color="auto"/>
        <w:bottom w:val="none" w:sz="0" w:space="0" w:color="auto"/>
        <w:right w:val="none" w:sz="0" w:space="0" w:color="auto"/>
      </w:divBdr>
    </w:div>
    <w:div w:id="1050348606">
      <w:bodyDiv w:val="1"/>
      <w:marLeft w:val="0"/>
      <w:marRight w:val="0"/>
      <w:marTop w:val="0"/>
      <w:marBottom w:val="0"/>
      <w:divBdr>
        <w:top w:val="none" w:sz="0" w:space="0" w:color="auto"/>
        <w:left w:val="none" w:sz="0" w:space="0" w:color="auto"/>
        <w:bottom w:val="none" w:sz="0" w:space="0" w:color="auto"/>
        <w:right w:val="none" w:sz="0" w:space="0" w:color="auto"/>
      </w:divBdr>
      <w:divsChild>
        <w:div w:id="1645544306">
          <w:marLeft w:val="0"/>
          <w:marRight w:val="0"/>
          <w:marTop w:val="0"/>
          <w:marBottom w:val="0"/>
          <w:divBdr>
            <w:top w:val="none" w:sz="0" w:space="0" w:color="auto"/>
            <w:left w:val="none" w:sz="0" w:space="0" w:color="auto"/>
            <w:bottom w:val="none" w:sz="0" w:space="0" w:color="auto"/>
            <w:right w:val="none" w:sz="0" w:space="0" w:color="auto"/>
          </w:divBdr>
        </w:div>
      </w:divsChild>
    </w:div>
    <w:div w:id="1054113790">
      <w:bodyDiv w:val="1"/>
      <w:marLeft w:val="0"/>
      <w:marRight w:val="0"/>
      <w:marTop w:val="0"/>
      <w:marBottom w:val="0"/>
      <w:divBdr>
        <w:top w:val="none" w:sz="0" w:space="0" w:color="auto"/>
        <w:left w:val="none" w:sz="0" w:space="0" w:color="auto"/>
        <w:bottom w:val="none" w:sz="0" w:space="0" w:color="auto"/>
        <w:right w:val="none" w:sz="0" w:space="0" w:color="auto"/>
      </w:divBdr>
    </w:div>
    <w:div w:id="1054885199">
      <w:bodyDiv w:val="1"/>
      <w:marLeft w:val="0"/>
      <w:marRight w:val="0"/>
      <w:marTop w:val="0"/>
      <w:marBottom w:val="0"/>
      <w:divBdr>
        <w:top w:val="none" w:sz="0" w:space="0" w:color="auto"/>
        <w:left w:val="none" w:sz="0" w:space="0" w:color="auto"/>
        <w:bottom w:val="none" w:sz="0" w:space="0" w:color="auto"/>
        <w:right w:val="none" w:sz="0" w:space="0" w:color="auto"/>
      </w:divBdr>
    </w:div>
    <w:div w:id="1056588310">
      <w:bodyDiv w:val="1"/>
      <w:marLeft w:val="0"/>
      <w:marRight w:val="0"/>
      <w:marTop w:val="0"/>
      <w:marBottom w:val="0"/>
      <w:divBdr>
        <w:top w:val="none" w:sz="0" w:space="0" w:color="auto"/>
        <w:left w:val="none" w:sz="0" w:space="0" w:color="auto"/>
        <w:bottom w:val="none" w:sz="0" w:space="0" w:color="auto"/>
        <w:right w:val="none" w:sz="0" w:space="0" w:color="auto"/>
      </w:divBdr>
    </w:div>
    <w:div w:id="1057893891">
      <w:bodyDiv w:val="1"/>
      <w:marLeft w:val="0"/>
      <w:marRight w:val="0"/>
      <w:marTop w:val="0"/>
      <w:marBottom w:val="0"/>
      <w:divBdr>
        <w:top w:val="none" w:sz="0" w:space="0" w:color="auto"/>
        <w:left w:val="none" w:sz="0" w:space="0" w:color="auto"/>
        <w:bottom w:val="none" w:sz="0" w:space="0" w:color="auto"/>
        <w:right w:val="none" w:sz="0" w:space="0" w:color="auto"/>
      </w:divBdr>
    </w:div>
    <w:div w:id="1059280479">
      <w:bodyDiv w:val="1"/>
      <w:marLeft w:val="0"/>
      <w:marRight w:val="0"/>
      <w:marTop w:val="0"/>
      <w:marBottom w:val="0"/>
      <w:divBdr>
        <w:top w:val="none" w:sz="0" w:space="0" w:color="auto"/>
        <w:left w:val="none" w:sz="0" w:space="0" w:color="auto"/>
        <w:bottom w:val="none" w:sz="0" w:space="0" w:color="auto"/>
        <w:right w:val="none" w:sz="0" w:space="0" w:color="auto"/>
      </w:divBdr>
    </w:div>
    <w:div w:id="1059281306">
      <w:bodyDiv w:val="1"/>
      <w:marLeft w:val="0"/>
      <w:marRight w:val="0"/>
      <w:marTop w:val="0"/>
      <w:marBottom w:val="0"/>
      <w:divBdr>
        <w:top w:val="none" w:sz="0" w:space="0" w:color="auto"/>
        <w:left w:val="none" w:sz="0" w:space="0" w:color="auto"/>
        <w:bottom w:val="none" w:sz="0" w:space="0" w:color="auto"/>
        <w:right w:val="none" w:sz="0" w:space="0" w:color="auto"/>
      </w:divBdr>
    </w:div>
    <w:div w:id="1064722094">
      <w:bodyDiv w:val="1"/>
      <w:marLeft w:val="0"/>
      <w:marRight w:val="0"/>
      <w:marTop w:val="0"/>
      <w:marBottom w:val="0"/>
      <w:divBdr>
        <w:top w:val="none" w:sz="0" w:space="0" w:color="auto"/>
        <w:left w:val="none" w:sz="0" w:space="0" w:color="auto"/>
        <w:bottom w:val="none" w:sz="0" w:space="0" w:color="auto"/>
        <w:right w:val="none" w:sz="0" w:space="0" w:color="auto"/>
      </w:divBdr>
    </w:div>
    <w:div w:id="1067604409">
      <w:bodyDiv w:val="1"/>
      <w:marLeft w:val="0"/>
      <w:marRight w:val="0"/>
      <w:marTop w:val="0"/>
      <w:marBottom w:val="0"/>
      <w:divBdr>
        <w:top w:val="none" w:sz="0" w:space="0" w:color="auto"/>
        <w:left w:val="none" w:sz="0" w:space="0" w:color="auto"/>
        <w:bottom w:val="none" w:sz="0" w:space="0" w:color="auto"/>
        <w:right w:val="none" w:sz="0" w:space="0" w:color="auto"/>
      </w:divBdr>
    </w:div>
    <w:div w:id="1072121033">
      <w:bodyDiv w:val="1"/>
      <w:marLeft w:val="0"/>
      <w:marRight w:val="0"/>
      <w:marTop w:val="0"/>
      <w:marBottom w:val="0"/>
      <w:divBdr>
        <w:top w:val="none" w:sz="0" w:space="0" w:color="auto"/>
        <w:left w:val="none" w:sz="0" w:space="0" w:color="auto"/>
        <w:bottom w:val="none" w:sz="0" w:space="0" w:color="auto"/>
        <w:right w:val="none" w:sz="0" w:space="0" w:color="auto"/>
      </w:divBdr>
    </w:div>
    <w:div w:id="1072653712">
      <w:bodyDiv w:val="1"/>
      <w:marLeft w:val="0"/>
      <w:marRight w:val="0"/>
      <w:marTop w:val="0"/>
      <w:marBottom w:val="0"/>
      <w:divBdr>
        <w:top w:val="none" w:sz="0" w:space="0" w:color="auto"/>
        <w:left w:val="none" w:sz="0" w:space="0" w:color="auto"/>
        <w:bottom w:val="none" w:sz="0" w:space="0" w:color="auto"/>
        <w:right w:val="none" w:sz="0" w:space="0" w:color="auto"/>
      </w:divBdr>
    </w:div>
    <w:div w:id="1074939443">
      <w:bodyDiv w:val="1"/>
      <w:marLeft w:val="0"/>
      <w:marRight w:val="0"/>
      <w:marTop w:val="0"/>
      <w:marBottom w:val="0"/>
      <w:divBdr>
        <w:top w:val="none" w:sz="0" w:space="0" w:color="auto"/>
        <w:left w:val="none" w:sz="0" w:space="0" w:color="auto"/>
        <w:bottom w:val="none" w:sz="0" w:space="0" w:color="auto"/>
        <w:right w:val="none" w:sz="0" w:space="0" w:color="auto"/>
      </w:divBdr>
    </w:div>
    <w:div w:id="1078556982">
      <w:bodyDiv w:val="1"/>
      <w:marLeft w:val="0"/>
      <w:marRight w:val="0"/>
      <w:marTop w:val="0"/>
      <w:marBottom w:val="0"/>
      <w:divBdr>
        <w:top w:val="none" w:sz="0" w:space="0" w:color="auto"/>
        <w:left w:val="none" w:sz="0" w:space="0" w:color="auto"/>
        <w:bottom w:val="none" w:sz="0" w:space="0" w:color="auto"/>
        <w:right w:val="none" w:sz="0" w:space="0" w:color="auto"/>
      </w:divBdr>
    </w:div>
    <w:div w:id="1080100337">
      <w:bodyDiv w:val="1"/>
      <w:marLeft w:val="0"/>
      <w:marRight w:val="0"/>
      <w:marTop w:val="0"/>
      <w:marBottom w:val="0"/>
      <w:divBdr>
        <w:top w:val="none" w:sz="0" w:space="0" w:color="auto"/>
        <w:left w:val="none" w:sz="0" w:space="0" w:color="auto"/>
        <w:bottom w:val="none" w:sz="0" w:space="0" w:color="auto"/>
        <w:right w:val="none" w:sz="0" w:space="0" w:color="auto"/>
      </w:divBdr>
      <w:divsChild>
        <w:div w:id="1297831474">
          <w:marLeft w:val="0"/>
          <w:marRight w:val="0"/>
          <w:marTop w:val="0"/>
          <w:marBottom w:val="0"/>
          <w:divBdr>
            <w:top w:val="none" w:sz="0" w:space="0" w:color="auto"/>
            <w:left w:val="none" w:sz="0" w:space="0" w:color="auto"/>
            <w:bottom w:val="none" w:sz="0" w:space="0" w:color="auto"/>
            <w:right w:val="none" w:sz="0" w:space="0" w:color="auto"/>
          </w:divBdr>
        </w:div>
      </w:divsChild>
    </w:div>
    <w:div w:id="1102721122">
      <w:bodyDiv w:val="1"/>
      <w:marLeft w:val="0"/>
      <w:marRight w:val="0"/>
      <w:marTop w:val="0"/>
      <w:marBottom w:val="0"/>
      <w:divBdr>
        <w:top w:val="none" w:sz="0" w:space="0" w:color="auto"/>
        <w:left w:val="none" w:sz="0" w:space="0" w:color="auto"/>
        <w:bottom w:val="none" w:sz="0" w:space="0" w:color="auto"/>
        <w:right w:val="none" w:sz="0" w:space="0" w:color="auto"/>
      </w:divBdr>
    </w:div>
    <w:div w:id="1102800450">
      <w:bodyDiv w:val="1"/>
      <w:marLeft w:val="0"/>
      <w:marRight w:val="0"/>
      <w:marTop w:val="0"/>
      <w:marBottom w:val="0"/>
      <w:divBdr>
        <w:top w:val="none" w:sz="0" w:space="0" w:color="auto"/>
        <w:left w:val="none" w:sz="0" w:space="0" w:color="auto"/>
        <w:bottom w:val="none" w:sz="0" w:space="0" w:color="auto"/>
        <w:right w:val="none" w:sz="0" w:space="0" w:color="auto"/>
      </w:divBdr>
    </w:div>
    <w:div w:id="1105265954">
      <w:bodyDiv w:val="1"/>
      <w:marLeft w:val="0"/>
      <w:marRight w:val="0"/>
      <w:marTop w:val="0"/>
      <w:marBottom w:val="0"/>
      <w:divBdr>
        <w:top w:val="none" w:sz="0" w:space="0" w:color="auto"/>
        <w:left w:val="none" w:sz="0" w:space="0" w:color="auto"/>
        <w:bottom w:val="none" w:sz="0" w:space="0" w:color="auto"/>
        <w:right w:val="none" w:sz="0" w:space="0" w:color="auto"/>
      </w:divBdr>
    </w:div>
    <w:div w:id="1109012948">
      <w:bodyDiv w:val="1"/>
      <w:marLeft w:val="0"/>
      <w:marRight w:val="0"/>
      <w:marTop w:val="0"/>
      <w:marBottom w:val="0"/>
      <w:divBdr>
        <w:top w:val="none" w:sz="0" w:space="0" w:color="auto"/>
        <w:left w:val="none" w:sz="0" w:space="0" w:color="auto"/>
        <w:bottom w:val="none" w:sz="0" w:space="0" w:color="auto"/>
        <w:right w:val="none" w:sz="0" w:space="0" w:color="auto"/>
      </w:divBdr>
    </w:div>
    <w:div w:id="1111703899">
      <w:bodyDiv w:val="1"/>
      <w:marLeft w:val="0"/>
      <w:marRight w:val="0"/>
      <w:marTop w:val="0"/>
      <w:marBottom w:val="0"/>
      <w:divBdr>
        <w:top w:val="none" w:sz="0" w:space="0" w:color="auto"/>
        <w:left w:val="none" w:sz="0" w:space="0" w:color="auto"/>
        <w:bottom w:val="none" w:sz="0" w:space="0" w:color="auto"/>
        <w:right w:val="none" w:sz="0" w:space="0" w:color="auto"/>
      </w:divBdr>
    </w:div>
    <w:div w:id="1116944359">
      <w:bodyDiv w:val="1"/>
      <w:marLeft w:val="0"/>
      <w:marRight w:val="0"/>
      <w:marTop w:val="0"/>
      <w:marBottom w:val="0"/>
      <w:divBdr>
        <w:top w:val="none" w:sz="0" w:space="0" w:color="auto"/>
        <w:left w:val="none" w:sz="0" w:space="0" w:color="auto"/>
        <w:bottom w:val="none" w:sz="0" w:space="0" w:color="auto"/>
        <w:right w:val="none" w:sz="0" w:space="0" w:color="auto"/>
      </w:divBdr>
    </w:div>
    <w:div w:id="1121144662">
      <w:bodyDiv w:val="1"/>
      <w:marLeft w:val="0"/>
      <w:marRight w:val="0"/>
      <w:marTop w:val="0"/>
      <w:marBottom w:val="0"/>
      <w:divBdr>
        <w:top w:val="none" w:sz="0" w:space="0" w:color="auto"/>
        <w:left w:val="none" w:sz="0" w:space="0" w:color="auto"/>
        <w:bottom w:val="none" w:sz="0" w:space="0" w:color="auto"/>
        <w:right w:val="none" w:sz="0" w:space="0" w:color="auto"/>
      </w:divBdr>
      <w:divsChild>
        <w:div w:id="1182816314">
          <w:marLeft w:val="0"/>
          <w:marRight w:val="0"/>
          <w:marTop w:val="0"/>
          <w:marBottom w:val="0"/>
          <w:divBdr>
            <w:top w:val="none" w:sz="0" w:space="0" w:color="auto"/>
            <w:left w:val="none" w:sz="0" w:space="0" w:color="auto"/>
            <w:bottom w:val="none" w:sz="0" w:space="0" w:color="auto"/>
            <w:right w:val="none" w:sz="0" w:space="0" w:color="auto"/>
          </w:divBdr>
        </w:div>
      </w:divsChild>
    </w:div>
    <w:div w:id="1128624883">
      <w:bodyDiv w:val="1"/>
      <w:marLeft w:val="0"/>
      <w:marRight w:val="0"/>
      <w:marTop w:val="0"/>
      <w:marBottom w:val="0"/>
      <w:divBdr>
        <w:top w:val="none" w:sz="0" w:space="0" w:color="auto"/>
        <w:left w:val="none" w:sz="0" w:space="0" w:color="auto"/>
        <w:bottom w:val="none" w:sz="0" w:space="0" w:color="auto"/>
        <w:right w:val="none" w:sz="0" w:space="0" w:color="auto"/>
      </w:divBdr>
    </w:div>
    <w:div w:id="1129977161">
      <w:bodyDiv w:val="1"/>
      <w:marLeft w:val="0"/>
      <w:marRight w:val="0"/>
      <w:marTop w:val="0"/>
      <w:marBottom w:val="0"/>
      <w:divBdr>
        <w:top w:val="none" w:sz="0" w:space="0" w:color="auto"/>
        <w:left w:val="none" w:sz="0" w:space="0" w:color="auto"/>
        <w:bottom w:val="none" w:sz="0" w:space="0" w:color="auto"/>
        <w:right w:val="none" w:sz="0" w:space="0" w:color="auto"/>
      </w:divBdr>
    </w:div>
    <w:div w:id="1131558699">
      <w:bodyDiv w:val="1"/>
      <w:marLeft w:val="0"/>
      <w:marRight w:val="0"/>
      <w:marTop w:val="0"/>
      <w:marBottom w:val="0"/>
      <w:divBdr>
        <w:top w:val="none" w:sz="0" w:space="0" w:color="auto"/>
        <w:left w:val="none" w:sz="0" w:space="0" w:color="auto"/>
        <w:bottom w:val="none" w:sz="0" w:space="0" w:color="auto"/>
        <w:right w:val="none" w:sz="0" w:space="0" w:color="auto"/>
      </w:divBdr>
    </w:div>
    <w:div w:id="1141997392">
      <w:bodyDiv w:val="1"/>
      <w:marLeft w:val="0"/>
      <w:marRight w:val="0"/>
      <w:marTop w:val="0"/>
      <w:marBottom w:val="0"/>
      <w:divBdr>
        <w:top w:val="none" w:sz="0" w:space="0" w:color="auto"/>
        <w:left w:val="none" w:sz="0" w:space="0" w:color="auto"/>
        <w:bottom w:val="none" w:sz="0" w:space="0" w:color="auto"/>
        <w:right w:val="none" w:sz="0" w:space="0" w:color="auto"/>
      </w:divBdr>
    </w:div>
    <w:div w:id="1143962119">
      <w:bodyDiv w:val="1"/>
      <w:marLeft w:val="0"/>
      <w:marRight w:val="0"/>
      <w:marTop w:val="0"/>
      <w:marBottom w:val="0"/>
      <w:divBdr>
        <w:top w:val="none" w:sz="0" w:space="0" w:color="auto"/>
        <w:left w:val="none" w:sz="0" w:space="0" w:color="auto"/>
        <w:bottom w:val="none" w:sz="0" w:space="0" w:color="auto"/>
        <w:right w:val="none" w:sz="0" w:space="0" w:color="auto"/>
      </w:divBdr>
    </w:div>
    <w:div w:id="1160773988">
      <w:bodyDiv w:val="1"/>
      <w:marLeft w:val="0"/>
      <w:marRight w:val="0"/>
      <w:marTop w:val="0"/>
      <w:marBottom w:val="0"/>
      <w:divBdr>
        <w:top w:val="none" w:sz="0" w:space="0" w:color="auto"/>
        <w:left w:val="none" w:sz="0" w:space="0" w:color="auto"/>
        <w:bottom w:val="none" w:sz="0" w:space="0" w:color="auto"/>
        <w:right w:val="none" w:sz="0" w:space="0" w:color="auto"/>
      </w:divBdr>
    </w:div>
    <w:div w:id="1164008003">
      <w:bodyDiv w:val="1"/>
      <w:marLeft w:val="0"/>
      <w:marRight w:val="0"/>
      <w:marTop w:val="0"/>
      <w:marBottom w:val="0"/>
      <w:divBdr>
        <w:top w:val="none" w:sz="0" w:space="0" w:color="auto"/>
        <w:left w:val="none" w:sz="0" w:space="0" w:color="auto"/>
        <w:bottom w:val="none" w:sz="0" w:space="0" w:color="auto"/>
        <w:right w:val="none" w:sz="0" w:space="0" w:color="auto"/>
      </w:divBdr>
    </w:div>
    <w:div w:id="1168444456">
      <w:bodyDiv w:val="1"/>
      <w:marLeft w:val="0"/>
      <w:marRight w:val="0"/>
      <w:marTop w:val="0"/>
      <w:marBottom w:val="0"/>
      <w:divBdr>
        <w:top w:val="none" w:sz="0" w:space="0" w:color="auto"/>
        <w:left w:val="none" w:sz="0" w:space="0" w:color="auto"/>
        <w:bottom w:val="none" w:sz="0" w:space="0" w:color="auto"/>
        <w:right w:val="none" w:sz="0" w:space="0" w:color="auto"/>
      </w:divBdr>
    </w:div>
    <w:div w:id="1186479395">
      <w:bodyDiv w:val="1"/>
      <w:marLeft w:val="0"/>
      <w:marRight w:val="0"/>
      <w:marTop w:val="0"/>
      <w:marBottom w:val="0"/>
      <w:divBdr>
        <w:top w:val="none" w:sz="0" w:space="0" w:color="auto"/>
        <w:left w:val="none" w:sz="0" w:space="0" w:color="auto"/>
        <w:bottom w:val="none" w:sz="0" w:space="0" w:color="auto"/>
        <w:right w:val="none" w:sz="0" w:space="0" w:color="auto"/>
      </w:divBdr>
    </w:div>
    <w:div w:id="1191139385">
      <w:bodyDiv w:val="1"/>
      <w:marLeft w:val="0"/>
      <w:marRight w:val="0"/>
      <w:marTop w:val="0"/>
      <w:marBottom w:val="0"/>
      <w:divBdr>
        <w:top w:val="none" w:sz="0" w:space="0" w:color="auto"/>
        <w:left w:val="none" w:sz="0" w:space="0" w:color="auto"/>
        <w:bottom w:val="none" w:sz="0" w:space="0" w:color="auto"/>
        <w:right w:val="none" w:sz="0" w:space="0" w:color="auto"/>
      </w:divBdr>
    </w:div>
    <w:div w:id="1197087180">
      <w:bodyDiv w:val="1"/>
      <w:marLeft w:val="0"/>
      <w:marRight w:val="0"/>
      <w:marTop w:val="0"/>
      <w:marBottom w:val="0"/>
      <w:divBdr>
        <w:top w:val="none" w:sz="0" w:space="0" w:color="auto"/>
        <w:left w:val="none" w:sz="0" w:space="0" w:color="auto"/>
        <w:bottom w:val="none" w:sz="0" w:space="0" w:color="auto"/>
        <w:right w:val="none" w:sz="0" w:space="0" w:color="auto"/>
      </w:divBdr>
    </w:div>
    <w:div w:id="1200508222">
      <w:bodyDiv w:val="1"/>
      <w:marLeft w:val="0"/>
      <w:marRight w:val="0"/>
      <w:marTop w:val="0"/>
      <w:marBottom w:val="0"/>
      <w:divBdr>
        <w:top w:val="none" w:sz="0" w:space="0" w:color="auto"/>
        <w:left w:val="none" w:sz="0" w:space="0" w:color="auto"/>
        <w:bottom w:val="none" w:sz="0" w:space="0" w:color="auto"/>
        <w:right w:val="none" w:sz="0" w:space="0" w:color="auto"/>
      </w:divBdr>
    </w:div>
    <w:div w:id="1200626635">
      <w:bodyDiv w:val="1"/>
      <w:marLeft w:val="0"/>
      <w:marRight w:val="0"/>
      <w:marTop w:val="0"/>
      <w:marBottom w:val="0"/>
      <w:divBdr>
        <w:top w:val="none" w:sz="0" w:space="0" w:color="auto"/>
        <w:left w:val="none" w:sz="0" w:space="0" w:color="auto"/>
        <w:bottom w:val="none" w:sz="0" w:space="0" w:color="auto"/>
        <w:right w:val="none" w:sz="0" w:space="0" w:color="auto"/>
      </w:divBdr>
    </w:div>
    <w:div w:id="1204487390">
      <w:bodyDiv w:val="1"/>
      <w:marLeft w:val="0"/>
      <w:marRight w:val="0"/>
      <w:marTop w:val="0"/>
      <w:marBottom w:val="0"/>
      <w:divBdr>
        <w:top w:val="none" w:sz="0" w:space="0" w:color="auto"/>
        <w:left w:val="none" w:sz="0" w:space="0" w:color="auto"/>
        <w:bottom w:val="none" w:sz="0" w:space="0" w:color="auto"/>
        <w:right w:val="none" w:sz="0" w:space="0" w:color="auto"/>
      </w:divBdr>
    </w:div>
    <w:div w:id="1206330522">
      <w:bodyDiv w:val="1"/>
      <w:marLeft w:val="0"/>
      <w:marRight w:val="0"/>
      <w:marTop w:val="0"/>
      <w:marBottom w:val="0"/>
      <w:divBdr>
        <w:top w:val="none" w:sz="0" w:space="0" w:color="auto"/>
        <w:left w:val="none" w:sz="0" w:space="0" w:color="auto"/>
        <w:bottom w:val="none" w:sz="0" w:space="0" w:color="auto"/>
        <w:right w:val="none" w:sz="0" w:space="0" w:color="auto"/>
      </w:divBdr>
    </w:div>
    <w:div w:id="1207374854">
      <w:bodyDiv w:val="1"/>
      <w:marLeft w:val="0"/>
      <w:marRight w:val="0"/>
      <w:marTop w:val="0"/>
      <w:marBottom w:val="0"/>
      <w:divBdr>
        <w:top w:val="none" w:sz="0" w:space="0" w:color="auto"/>
        <w:left w:val="none" w:sz="0" w:space="0" w:color="auto"/>
        <w:bottom w:val="none" w:sz="0" w:space="0" w:color="auto"/>
        <w:right w:val="none" w:sz="0" w:space="0" w:color="auto"/>
      </w:divBdr>
    </w:div>
    <w:div w:id="1214122598">
      <w:bodyDiv w:val="1"/>
      <w:marLeft w:val="0"/>
      <w:marRight w:val="0"/>
      <w:marTop w:val="0"/>
      <w:marBottom w:val="0"/>
      <w:divBdr>
        <w:top w:val="none" w:sz="0" w:space="0" w:color="auto"/>
        <w:left w:val="none" w:sz="0" w:space="0" w:color="auto"/>
        <w:bottom w:val="none" w:sz="0" w:space="0" w:color="auto"/>
        <w:right w:val="none" w:sz="0" w:space="0" w:color="auto"/>
      </w:divBdr>
    </w:div>
    <w:div w:id="1226263328">
      <w:bodyDiv w:val="1"/>
      <w:marLeft w:val="0"/>
      <w:marRight w:val="0"/>
      <w:marTop w:val="0"/>
      <w:marBottom w:val="0"/>
      <w:divBdr>
        <w:top w:val="none" w:sz="0" w:space="0" w:color="auto"/>
        <w:left w:val="none" w:sz="0" w:space="0" w:color="auto"/>
        <w:bottom w:val="none" w:sz="0" w:space="0" w:color="auto"/>
        <w:right w:val="none" w:sz="0" w:space="0" w:color="auto"/>
      </w:divBdr>
    </w:div>
    <w:div w:id="1226531879">
      <w:bodyDiv w:val="1"/>
      <w:marLeft w:val="0"/>
      <w:marRight w:val="0"/>
      <w:marTop w:val="0"/>
      <w:marBottom w:val="0"/>
      <w:divBdr>
        <w:top w:val="none" w:sz="0" w:space="0" w:color="auto"/>
        <w:left w:val="none" w:sz="0" w:space="0" w:color="auto"/>
        <w:bottom w:val="none" w:sz="0" w:space="0" w:color="auto"/>
        <w:right w:val="none" w:sz="0" w:space="0" w:color="auto"/>
      </w:divBdr>
    </w:div>
    <w:div w:id="1245338702">
      <w:bodyDiv w:val="1"/>
      <w:marLeft w:val="0"/>
      <w:marRight w:val="0"/>
      <w:marTop w:val="0"/>
      <w:marBottom w:val="0"/>
      <w:divBdr>
        <w:top w:val="none" w:sz="0" w:space="0" w:color="auto"/>
        <w:left w:val="none" w:sz="0" w:space="0" w:color="auto"/>
        <w:bottom w:val="none" w:sz="0" w:space="0" w:color="auto"/>
        <w:right w:val="none" w:sz="0" w:space="0" w:color="auto"/>
      </w:divBdr>
    </w:div>
    <w:div w:id="1246845434">
      <w:bodyDiv w:val="1"/>
      <w:marLeft w:val="0"/>
      <w:marRight w:val="0"/>
      <w:marTop w:val="0"/>
      <w:marBottom w:val="0"/>
      <w:divBdr>
        <w:top w:val="none" w:sz="0" w:space="0" w:color="auto"/>
        <w:left w:val="none" w:sz="0" w:space="0" w:color="auto"/>
        <w:bottom w:val="none" w:sz="0" w:space="0" w:color="auto"/>
        <w:right w:val="none" w:sz="0" w:space="0" w:color="auto"/>
      </w:divBdr>
    </w:div>
    <w:div w:id="1247109594">
      <w:bodyDiv w:val="1"/>
      <w:marLeft w:val="0"/>
      <w:marRight w:val="0"/>
      <w:marTop w:val="0"/>
      <w:marBottom w:val="0"/>
      <w:divBdr>
        <w:top w:val="none" w:sz="0" w:space="0" w:color="auto"/>
        <w:left w:val="none" w:sz="0" w:space="0" w:color="auto"/>
        <w:bottom w:val="none" w:sz="0" w:space="0" w:color="auto"/>
        <w:right w:val="none" w:sz="0" w:space="0" w:color="auto"/>
      </w:divBdr>
      <w:divsChild>
        <w:div w:id="1059086436">
          <w:marLeft w:val="0"/>
          <w:marRight w:val="0"/>
          <w:marTop w:val="0"/>
          <w:marBottom w:val="0"/>
          <w:divBdr>
            <w:top w:val="none" w:sz="0" w:space="0" w:color="auto"/>
            <w:left w:val="none" w:sz="0" w:space="0" w:color="auto"/>
            <w:bottom w:val="none" w:sz="0" w:space="0" w:color="auto"/>
            <w:right w:val="none" w:sz="0" w:space="0" w:color="auto"/>
          </w:divBdr>
          <w:divsChild>
            <w:div w:id="1933272136">
              <w:marLeft w:val="0"/>
              <w:marRight w:val="0"/>
              <w:marTop w:val="0"/>
              <w:marBottom w:val="0"/>
              <w:divBdr>
                <w:top w:val="none" w:sz="0" w:space="0" w:color="auto"/>
                <w:left w:val="none" w:sz="0" w:space="0" w:color="auto"/>
                <w:bottom w:val="none" w:sz="0" w:space="0" w:color="auto"/>
                <w:right w:val="none" w:sz="0" w:space="0" w:color="auto"/>
              </w:divBdr>
            </w:div>
          </w:divsChild>
        </w:div>
        <w:div w:id="21714555">
          <w:marLeft w:val="0"/>
          <w:marRight w:val="0"/>
          <w:marTop w:val="0"/>
          <w:marBottom w:val="0"/>
          <w:divBdr>
            <w:top w:val="none" w:sz="0" w:space="0" w:color="auto"/>
            <w:left w:val="none" w:sz="0" w:space="0" w:color="auto"/>
            <w:bottom w:val="none" w:sz="0" w:space="0" w:color="auto"/>
            <w:right w:val="none" w:sz="0" w:space="0" w:color="auto"/>
          </w:divBdr>
          <w:divsChild>
            <w:div w:id="1501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2171">
      <w:bodyDiv w:val="1"/>
      <w:marLeft w:val="0"/>
      <w:marRight w:val="0"/>
      <w:marTop w:val="0"/>
      <w:marBottom w:val="0"/>
      <w:divBdr>
        <w:top w:val="none" w:sz="0" w:space="0" w:color="auto"/>
        <w:left w:val="none" w:sz="0" w:space="0" w:color="auto"/>
        <w:bottom w:val="none" w:sz="0" w:space="0" w:color="auto"/>
        <w:right w:val="none" w:sz="0" w:space="0" w:color="auto"/>
      </w:divBdr>
    </w:div>
    <w:div w:id="1247693721">
      <w:bodyDiv w:val="1"/>
      <w:marLeft w:val="0"/>
      <w:marRight w:val="0"/>
      <w:marTop w:val="0"/>
      <w:marBottom w:val="0"/>
      <w:divBdr>
        <w:top w:val="none" w:sz="0" w:space="0" w:color="auto"/>
        <w:left w:val="none" w:sz="0" w:space="0" w:color="auto"/>
        <w:bottom w:val="none" w:sz="0" w:space="0" w:color="auto"/>
        <w:right w:val="none" w:sz="0" w:space="0" w:color="auto"/>
      </w:divBdr>
    </w:div>
    <w:div w:id="1248536032">
      <w:bodyDiv w:val="1"/>
      <w:marLeft w:val="0"/>
      <w:marRight w:val="0"/>
      <w:marTop w:val="0"/>
      <w:marBottom w:val="0"/>
      <w:divBdr>
        <w:top w:val="none" w:sz="0" w:space="0" w:color="auto"/>
        <w:left w:val="none" w:sz="0" w:space="0" w:color="auto"/>
        <w:bottom w:val="none" w:sz="0" w:space="0" w:color="auto"/>
        <w:right w:val="none" w:sz="0" w:space="0" w:color="auto"/>
      </w:divBdr>
    </w:div>
    <w:div w:id="1251280263">
      <w:bodyDiv w:val="1"/>
      <w:marLeft w:val="0"/>
      <w:marRight w:val="0"/>
      <w:marTop w:val="0"/>
      <w:marBottom w:val="0"/>
      <w:divBdr>
        <w:top w:val="none" w:sz="0" w:space="0" w:color="auto"/>
        <w:left w:val="none" w:sz="0" w:space="0" w:color="auto"/>
        <w:bottom w:val="none" w:sz="0" w:space="0" w:color="auto"/>
        <w:right w:val="none" w:sz="0" w:space="0" w:color="auto"/>
      </w:divBdr>
    </w:div>
    <w:div w:id="1256474754">
      <w:bodyDiv w:val="1"/>
      <w:marLeft w:val="0"/>
      <w:marRight w:val="0"/>
      <w:marTop w:val="0"/>
      <w:marBottom w:val="0"/>
      <w:divBdr>
        <w:top w:val="none" w:sz="0" w:space="0" w:color="auto"/>
        <w:left w:val="none" w:sz="0" w:space="0" w:color="auto"/>
        <w:bottom w:val="none" w:sz="0" w:space="0" w:color="auto"/>
        <w:right w:val="none" w:sz="0" w:space="0" w:color="auto"/>
      </w:divBdr>
    </w:div>
    <w:div w:id="1261648289">
      <w:bodyDiv w:val="1"/>
      <w:marLeft w:val="0"/>
      <w:marRight w:val="0"/>
      <w:marTop w:val="0"/>
      <w:marBottom w:val="0"/>
      <w:divBdr>
        <w:top w:val="none" w:sz="0" w:space="0" w:color="auto"/>
        <w:left w:val="none" w:sz="0" w:space="0" w:color="auto"/>
        <w:bottom w:val="none" w:sz="0" w:space="0" w:color="auto"/>
        <w:right w:val="none" w:sz="0" w:space="0" w:color="auto"/>
      </w:divBdr>
    </w:div>
    <w:div w:id="1261793765">
      <w:bodyDiv w:val="1"/>
      <w:marLeft w:val="0"/>
      <w:marRight w:val="0"/>
      <w:marTop w:val="0"/>
      <w:marBottom w:val="0"/>
      <w:divBdr>
        <w:top w:val="none" w:sz="0" w:space="0" w:color="auto"/>
        <w:left w:val="none" w:sz="0" w:space="0" w:color="auto"/>
        <w:bottom w:val="none" w:sz="0" w:space="0" w:color="auto"/>
        <w:right w:val="none" w:sz="0" w:space="0" w:color="auto"/>
      </w:divBdr>
    </w:div>
    <w:div w:id="1262763423">
      <w:bodyDiv w:val="1"/>
      <w:marLeft w:val="0"/>
      <w:marRight w:val="0"/>
      <w:marTop w:val="0"/>
      <w:marBottom w:val="0"/>
      <w:divBdr>
        <w:top w:val="none" w:sz="0" w:space="0" w:color="auto"/>
        <w:left w:val="none" w:sz="0" w:space="0" w:color="auto"/>
        <w:bottom w:val="none" w:sz="0" w:space="0" w:color="auto"/>
        <w:right w:val="none" w:sz="0" w:space="0" w:color="auto"/>
      </w:divBdr>
    </w:div>
    <w:div w:id="1280724056">
      <w:bodyDiv w:val="1"/>
      <w:marLeft w:val="0"/>
      <w:marRight w:val="0"/>
      <w:marTop w:val="0"/>
      <w:marBottom w:val="0"/>
      <w:divBdr>
        <w:top w:val="none" w:sz="0" w:space="0" w:color="auto"/>
        <w:left w:val="none" w:sz="0" w:space="0" w:color="auto"/>
        <w:bottom w:val="none" w:sz="0" w:space="0" w:color="auto"/>
        <w:right w:val="none" w:sz="0" w:space="0" w:color="auto"/>
      </w:divBdr>
    </w:div>
    <w:div w:id="1281259101">
      <w:bodyDiv w:val="1"/>
      <w:marLeft w:val="0"/>
      <w:marRight w:val="0"/>
      <w:marTop w:val="0"/>
      <w:marBottom w:val="0"/>
      <w:divBdr>
        <w:top w:val="none" w:sz="0" w:space="0" w:color="auto"/>
        <w:left w:val="none" w:sz="0" w:space="0" w:color="auto"/>
        <w:bottom w:val="none" w:sz="0" w:space="0" w:color="auto"/>
        <w:right w:val="none" w:sz="0" w:space="0" w:color="auto"/>
      </w:divBdr>
    </w:div>
    <w:div w:id="1284776447">
      <w:bodyDiv w:val="1"/>
      <w:marLeft w:val="0"/>
      <w:marRight w:val="0"/>
      <w:marTop w:val="0"/>
      <w:marBottom w:val="0"/>
      <w:divBdr>
        <w:top w:val="none" w:sz="0" w:space="0" w:color="auto"/>
        <w:left w:val="none" w:sz="0" w:space="0" w:color="auto"/>
        <w:bottom w:val="none" w:sz="0" w:space="0" w:color="auto"/>
        <w:right w:val="none" w:sz="0" w:space="0" w:color="auto"/>
      </w:divBdr>
    </w:div>
    <w:div w:id="1292205521">
      <w:bodyDiv w:val="1"/>
      <w:marLeft w:val="0"/>
      <w:marRight w:val="0"/>
      <w:marTop w:val="0"/>
      <w:marBottom w:val="0"/>
      <w:divBdr>
        <w:top w:val="none" w:sz="0" w:space="0" w:color="auto"/>
        <w:left w:val="none" w:sz="0" w:space="0" w:color="auto"/>
        <w:bottom w:val="none" w:sz="0" w:space="0" w:color="auto"/>
        <w:right w:val="none" w:sz="0" w:space="0" w:color="auto"/>
      </w:divBdr>
    </w:div>
    <w:div w:id="1314065612">
      <w:bodyDiv w:val="1"/>
      <w:marLeft w:val="0"/>
      <w:marRight w:val="0"/>
      <w:marTop w:val="0"/>
      <w:marBottom w:val="0"/>
      <w:divBdr>
        <w:top w:val="none" w:sz="0" w:space="0" w:color="auto"/>
        <w:left w:val="none" w:sz="0" w:space="0" w:color="auto"/>
        <w:bottom w:val="none" w:sz="0" w:space="0" w:color="auto"/>
        <w:right w:val="none" w:sz="0" w:space="0" w:color="auto"/>
      </w:divBdr>
    </w:div>
    <w:div w:id="1314873332">
      <w:bodyDiv w:val="1"/>
      <w:marLeft w:val="0"/>
      <w:marRight w:val="0"/>
      <w:marTop w:val="0"/>
      <w:marBottom w:val="0"/>
      <w:divBdr>
        <w:top w:val="none" w:sz="0" w:space="0" w:color="auto"/>
        <w:left w:val="none" w:sz="0" w:space="0" w:color="auto"/>
        <w:bottom w:val="none" w:sz="0" w:space="0" w:color="auto"/>
        <w:right w:val="none" w:sz="0" w:space="0" w:color="auto"/>
      </w:divBdr>
    </w:div>
    <w:div w:id="1320424840">
      <w:bodyDiv w:val="1"/>
      <w:marLeft w:val="0"/>
      <w:marRight w:val="0"/>
      <w:marTop w:val="0"/>
      <w:marBottom w:val="0"/>
      <w:divBdr>
        <w:top w:val="none" w:sz="0" w:space="0" w:color="auto"/>
        <w:left w:val="none" w:sz="0" w:space="0" w:color="auto"/>
        <w:bottom w:val="none" w:sz="0" w:space="0" w:color="auto"/>
        <w:right w:val="none" w:sz="0" w:space="0" w:color="auto"/>
      </w:divBdr>
    </w:div>
    <w:div w:id="1322614712">
      <w:bodyDiv w:val="1"/>
      <w:marLeft w:val="0"/>
      <w:marRight w:val="0"/>
      <w:marTop w:val="0"/>
      <w:marBottom w:val="0"/>
      <w:divBdr>
        <w:top w:val="none" w:sz="0" w:space="0" w:color="auto"/>
        <w:left w:val="none" w:sz="0" w:space="0" w:color="auto"/>
        <w:bottom w:val="none" w:sz="0" w:space="0" w:color="auto"/>
        <w:right w:val="none" w:sz="0" w:space="0" w:color="auto"/>
      </w:divBdr>
    </w:div>
    <w:div w:id="1330985511">
      <w:bodyDiv w:val="1"/>
      <w:marLeft w:val="0"/>
      <w:marRight w:val="0"/>
      <w:marTop w:val="0"/>
      <w:marBottom w:val="0"/>
      <w:divBdr>
        <w:top w:val="none" w:sz="0" w:space="0" w:color="auto"/>
        <w:left w:val="none" w:sz="0" w:space="0" w:color="auto"/>
        <w:bottom w:val="none" w:sz="0" w:space="0" w:color="auto"/>
        <w:right w:val="none" w:sz="0" w:space="0" w:color="auto"/>
      </w:divBdr>
    </w:div>
    <w:div w:id="1335643214">
      <w:bodyDiv w:val="1"/>
      <w:marLeft w:val="0"/>
      <w:marRight w:val="0"/>
      <w:marTop w:val="0"/>
      <w:marBottom w:val="0"/>
      <w:divBdr>
        <w:top w:val="none" w:sz="0" w:space="0" w:color="auto"/>
        <w:left w:val="none" w:sz="0" w:space="0" w:color="auto"/>
        <w:bottom w:val="none" w:sz="0" w:space="0" w:color="auto"/>
        <w:right w:val="none" w:sz="0" w:space="0" w:color="auto"/>
      </w:divBdr>
    </w:div>
    <w:div w:id="1335692129">
      <w:bodyDiv w:val="1"/>
      <w:marLeft w:val="0"/>
      <w:marRight w:val="0"/>
      <w:marTop w:val="0"/>
      <w:marBottom w:val="0"/>
      <w:divBdr>
        <w:top w:val="none" w:sz="0" w:space="0" w:color="auto"/>
        <w:left w:val="none" w:sz="0" w:space="0" w:color="auto"/>
        <w:bottom w:val="none" w:sz="0" w:space="0" w:color="auto"/>
        <w:right w:val="none" w:sz="0" w:space="0" w:color="auto"/>
      </w:divBdr>
    </w:div>
    <w:div w:id="1340234062">
      <w:bodyDiv w:val="1"/>
      <w:marLeft w:val="0"/>
      <w:marRight w:val="0"/>
      <w:marTop w:val="0"/>
      <w:marBottom w:val="0"/>
      <w:divBdr>
        <w:top w:val="none" w:sz="0" w:space="0" w:color="auto"/>
        <w:left w:val="none" w:sz="0" w:space="0" w:color="auto"/>
        <w:bottom w:val="none" w:sz="0" w:space="0" w:color="auto"/>
        <w:right w:val="none" w:sz="0" w:space="0" w:color="auto"/>
      </w:divBdr>
    </w:div>
    <w:div w:id="1340350381">
      <w:bodyDiv w:val="1"/>
      <w:marLeft w:val="0"/>
      <w:marRight w:val="0"/>
      <w:marTop w:val="0"/>
      <w:marBottom w:val="0"/>
      <w:divBdr>
        <w:top w:val="none" w:sz="0" w:space="0" w:color="auto"/>
        <w:left w:val="none" w:sz="0" w:space="0" w:color="auto"/>
        <w:bottom w:val="none" w:sz="0" w:space="0" w:color="auto"/>
        <w:right w:val="none" w:sz="0" w:space="0" w:color="auto"/>
      </w:divBdr>
    </w:div>
    <w:div w:id="1340547549">
      <w:bodyDiv w:val="1"/>
      <w:marLeft w:val="0"/>
      <w:marRight w:val="0"/>
      <w:marTop w:val="0"/>
      <w:marBottom w:val="0"/>
      <w:divBdr>
        <w:top w:val="none" w:sz="0" w:space="0" w:color="auto"/>
        <w:left w:val="none" w:sz="0" w:space="0" w:color="auto"/>
        <w:bottom w:val="none" w:sz="0" w:space="0" w:color="auto"/>
        <w:right w:val="none" w:sz="0" w:space="0" w:color="auto"/>
      </w:divBdr>
    </w:div>
    <w:div w:id="1341007779">
      <w:bodyDiv w:val="1"/>
      <w:marLeft w:val="0"/>
      <w:marRight w:val="0"/>
      <w:marTop w:val="0"/>
      <w:marBottom w:val="0"/>
      <w:divBdr>
        <w:top w:val="none" w:sz="0" w:space="0" w:color="auto"/>
        <w:left w:val="none" w:sz="0" w:space="0" w:color="auto"/>
        <w:bottom w:val="none" w:sz="0" w:space="0" w:color="auto"/>
        <w:right w:val="none" w:sz="0" w:space="0" w:color="auto"/>
      </w:divBdr>
      <w:divsChild>
        <w:div w:id="940064409">
          <w:marLeft w:val="0"/>
          <w:marRight w:val="0"/>
          <w:marTop w:val="0"/>
          <w:marBottom w:val="0"/>
          <w:divBdr>
            <w:top w:val="none" w:sz="0" w:space="0" w:color="auto"/>
            <w:left w:val="none" w:sz="0" w:space="0" w:color="auto"/>
            <w:bottom w:val="none" w:sz="0" w:space="0" w:color="auto"/>
            <w:right w:val="none" w:sz="0" w:space="0" w:color="auto"/>
          </w:divBdr>
        </w:div>
      </w:divsChild>
    </w:div>
    <w:div w:id="1343822249">
      <w:bodyDiv w:val="1"/>
      <w:marLeft w:val="0"/>
      <w:marRight w:val="0"/>
      <w:marTop w:val="0"/>
      <w:marBottom w:val="0"/>
      <w:divBdr>
        <w:top w:val="none" w:sz="0" w:space="0" w:color="auto"/>
        <w:left w:val="none" w:sz="0" w:space="0" w:color="auto"/>
        <w:bottom w:val="none" w:sz="0" w:space="0" w:color="auto"/>
        <w:right w:val="none" w:sz="0" w:space="0" w:color="auto"/>
      </w:divBdr>
    </w:div>
    <w:div w:id="1344237948">
      <w:bodyDiv w:val="1"/>
      <w:marLeft w:val="0"/>
      <w:marRight w:val="0"/>
      <w:marTop w:val="0"/>
      <w:marBottom w:val="0"/>
      <w:divBdr>
        <w:top w:val="none" w:sz="0" w:space="0" w:color="auto"/>
        <w:left w:val="none" w:sz="0" w:space="0" w:color="auto"/>
        <w:bottom w:val="none" w:sz="0" w:space="0" w:color="auto"/>
        <w:right w:val="none" w:sz="0" w:space="0" w:color="auto"/>
      </w:divBdr>
    </w:div>
    <w:div w:id="1349990354">
      <w:bodyDiv w:val="1"/>
      <w:marLeft w:val="0"/>
      <w:marRight w:val="0"/>
      <w:marTop w:val="0"/>
      <w:marBottom w:val="0"/>
      <w:divBdr>
        <w:top w:val="none" w:sz="0" w:space="0" w:color="auto"/>
        <w:left w:val="none" w:sz="0" w:space="0" w:color="auto"/>
        <w:bottom w:val="none" w:sz="0" w:space="0" w:color="auto"/>
        <w:right w:val="none" w:sz="0" w:space="0" w:color="auto"/>
      </w:divBdr>
    </w:div>
    <w:div w:id="1356610641">
      <w:bodyDiv w:val="1"/>
      <w:marLeft w:val="0"/>
      <w:marRight w:val="0"/>
      <w:marTop w:val="0"/>
      <w:marBottom w:val="0"/>
      <w:divBdr>
        <w:top w:val="none" w:sz="0" w:space="0" w:color="auto"/>
        <w:left w:val="none" w:sz="0" w:space="0" w:color="auto"/>
        <w:bottom w:val="none" w:sz="0" w:space="0" w:color="auto"/>
        <w:right w:val="none" w:sz="0" w:space="0" w:color="auto"/>
      </w:divBdr>
    </w:div>
    <w:div w:id="1358845831">
      <w:bodyDiv w:val="1"/>
      <w:marLeft w:val="0"/>
      <w:marRight w:val="0"/>
      <w:marTop w:val="0"/>
      <w:marBottom w:val="0"/>
      <w:divBdr>
        <w:top w:val="none" w:sz="0" w:space="0" w:color="auto"/>
        <w:left w:val="none" w:sz="0" w:space="0" w:color="auto"/>
        <w:bottom w:val="none" w:sz="0" w:space="0" w:color="auto"/>
        <w:right w:val="none" w:sz="0" w:space="0" w:color="auto"/>
      </w:divBdr>
    </w:div>
    <w:div w:id="1360542877">
      <w:bodyDiv w:val="1"/>
      <w:marLeft w:val="0"/>
      <w:marRight w:val="0"/>
      <w:marTop w:val="0"/>
      <w:marBottom w:val="0"/>
      <w:divBdr>
        <w:top w:val="none" w:sz="0" w:space="0" w:color="auto"/>
        <w:left w:val="none" w:sz="0" w:space="0" w:color="auto"/>
        <w:bottom w:val="none" w:sz="0" w:space="0" w:color="auto"/>
        <w:right w:val="none" w:sz="0" w:space="0" w:color="auto"/>
      </w:divBdr>
    </w:div>
    <w:div w:id="1368413108">
      <w:bodyDiv w:val="1"/>
      <w:marLeft w:val="0"/>
      <w:marRight w:val="0"/>
      <w:marTop w:val="0"/>
      <w:marBottom w:val="0"/>
      <w:divBdr>
        <w:top w:val="none" w:sz="0" w:space="0" w:color="auto"/>
        <w:left w:val="none" w:sz="0" w:space="0" w:color="auto"/>
        <w:bottom w:val="none" w:sz="0" w:space="0" w:color="auto"/>
        <w:right w:val="none" w:sz="0" w:space="0" w:color="auto"/>
      </w:divBdr>
    </w:div>
    <w:div w:id="1369571912">
      <w:bodyDiv w:val="1"/>
      <w:marLeft w:val="0"/>
      <w:marRight w:val="0"/>
      <w:marTop w:val="0"/>
      <w:marBottom w:val="0"/>
      <w:divBdr>
        <w:top w:val="none" w:sz="0" w:space="0" w:color="auto"/>
        <w:left w:val="none" w:sz="0" w:space="0" w:color="auto"/>
        <w:bottom w:val="none" w:sz="0" w:space="0" w:color="auto"/>
        <w:right w:val="none" w:sz="0" w:space="0" w:color="auto"/>
      </w:divBdr>
    </w:div>
    <w:div w:id="1380009652">
      <w:bodyDiv w:val="1"/>
      <w:marLeft w:val="0"/>
      <w:marRight w:val="0"/>
      <w:marTop w:val="0"/>
      <w:marBottom w:val="0"/>
      <w:divBdr>
        <w:top w:val="none" w:sz="0" w:space="0" w:color="auto"/>
        <w:left w:val="none" w:sz="0" w:space="0" w:color="auto"/>
        <w:bottom w:val="none" w:sz="0" w:space="0" w:color="auto"/>
        <w:right w:val="none" w:sz="0" w:space="0" w:color="auto"/>
      </w:divBdr>
    </w:div>
    <w:div w:id="1381244819">
      <w:bodyDiv w:val="1"/>
      <w:marLeft w:val="0"/>
      <w:marRight w:val="0"/>
      <w:marTop w:val="0"/>
      <w:marBottom w:val="0"/>
      <w:divBdr>
        <w:top w:val="none" w:sz="0" w:space="0" w:color="auto"/>
        <w:left w:val="none" w:sz="0" w:space="0" w:color="auto"/>
        <w:bottom w:val="none" w:sz="0" w:space="0" w:color="auto"/>
        <w:right w:val="none" w:sz="0" w:space="0" w:color="auto"/>
      </w:divBdr>
    </w:div>
    <w:div w:id="1384060118">
      <w:bodyDiv w:val="1"/>
      <w:marLeft w:val="0"/>
      <w:marRight w:val="0"/>
      <w:marTop w:val="0"/>
      <w:marBottom w:val="0"/>
      <w:divBdr>
        <w:top w:val="none" w:sz="0" w:space="0" w:color="auto"/>
        <w:left w:val="none" w:sz="0" w:space="0" w:color="auto"/>
        <w:bottom w:val="none" w:sz="0" w:space="0" w:color="auto"/>
        <w:right w:val="none" w:sz="0" w:space="0" w:color="auto"/>
      </w:divBdr>
    </w:div>
    <w:div w:id="1386175016">
      <w:bodyDiv w:val="1"/>
      <w:marLeft w:val="0"/>
      <w:marRight w:val="0"/>
      <w:marTop w:val="0"/>
      <w:marBottom w:val="0"/>
      <w:divBdr>
        <w:top w:val="none" w:sz="0" w:space="0" w:color="auto"/>
        <w:left w:val="none" w:sz="0" w:space="0" w:color="auto"/>
        <w:bottom w:val="none" w:sz="0" w:space="0" w:color="auto"/>
        <w:right w:val="none" w:sz="0" w:space="0" w:color="auto"/>
      </w:divBdr>
    </w:div>
    <w:div w:id="1414547207">
      <w:bodyDiv w:val="1"/>
      <w:marLeft w:val="0"/>
      <w:marRight w:val="0"/>
      <w:marTop w:val="0"/>
      <w:marBottom w:val="0"/>
      <w:divBdr>
        <w:top w:val="none" w:sz="0" w:space="0" w:color="auto"/>
        <w:left w:val="none" w:sz="0" w:space="0" w:color="auto"/>
        <w:bottom w:val="none" w:sz="0" w:space="0" w:color="auto"/>
        <w:right w:val="none" w:sz="0" w:space="0" w:color="auto"/>
      </w:divBdr>
    </w:div>
    <w:div w:id="1418481093">
      <w:bodyDiv w:val="1"/>
      <w:marLeft w:val="0"/>
      <w:marRight w:val="0"/>
      <w:marTop w:val="0"/>
      <w:marBottom w:val="0"/>
      <w:divBdr>
        <w:top w:val="none" w:sz="0" w:space="0" w:color="auto"/>
        <w:left w:val="none" w:sz="0" w:space="0" w:color="auto"/>
        <w:bottom w:val="none" w:sz="0" w:space="0" w:color="auto"/>
        <w:right w:val="none" w:sz="0" w:space="0" w:color="auto"/>
      </w:divBdr>
    </w:div>
    <w:div w:id="1420327251">
      <w:bodyDiv w:val="1"/>
      <w:marLeft w:val="0"/>
      <w:marRight w:val="0"/>
      <w:marTop w:val="0"/>
      <w:marBottom w:val="0"/>
      <w:divBdr>
        <w:top w:val="none" w:sz="0" w:space="0" w:color="auto"/>
        <w:left w:val="none" w:sz="0" w:space="0" w:color="auto"/>
        <w:bottom w:val="none" w:sz="0" w:space="0" w:color="auto"/>
        <w:right w:val="none" w:sz="0" w:space="0" w:color="auto"/>
      </w:divBdr>
    </w:div>
    <w:div w:id="1422721258">
      <w:bodyDiv w:val="1"/>
      <w:marLeft w:val="0"/>
      <w:marRight w:val="0"/>
      <w:marTop w:val="0"/>
      <w:marBottom w:val="0"/>
      <w:divBdr>
        <w:top w:val="none" w:sz="0" w:space="0" w:color="auto"/>
        <w:left w:val="none" w:sz="0" w:space="0" w:color="auto"/>
        <w:bottom w:val="none" w:sz="0" w:space="0" w:color="auto"/>
        <w:right w:val="none" w:sz="0" w:space="0" w:color="auto"/>
      </w:divBdr>
    </w:div>
    <w:div w:id="1431268877">
      <w:bodyDiv w:val="1"/>
      <w:marLeft w:val="0"/>
      <w:marRight w:val="0"/>
      <w:marTop w:val="0"/>
      <w:marBottom w:val="0"/>
      <w:divBdr>
        <w:top w:val="none" w:sz="0" w:space="0" w:color="auto"/>
        <w:left w:val="none" w:sz="0" w:space="0" w:color="auto"/>
        <w:bottom w:val="none" w:sz="0" w:space="0" w:color="auto"/>
        <w:right w:val="none" w:sz="0" w:space="0" w:color="auto"/>
      </w:divBdr>
    </w:div>
    <w:div w:id="1437016955">
      <w:bodyDiv w:val="1"/>
      <w:marLeft w:val="0"/>
      <w:marRight w:val="0"/>
      <w:marTop w:val="0"/>
      <w:marBottom w:val="0"/>
      <w:divBdr>
        <w:top w:val="none" w:sz="0" w:space="0" w:color="auto"/>
        <w:left w:val="none" w:sz="0" w:space="0" w:color="auto"/>
        <w:bottom w:val="none" w:sz="0" w:space="0" w:color="auto"/>
        <w:right w:val="none" w:sz="0" w:space="0" w:color="auto"/>
      </w:divBdr>
    </w:div>
    <w:div w:id="1441027471">
      <w:bodyDiv w:val="1"/>
      <w:marLeft w:val="0"/>
      <w:marRight w:val="0"/>
      <w:marTop w:val="0"/>
      <w:marBottom w:val="0"/>
      <w:divBdr>
        <w:top w:val="none" w:sz="0" w:space="0" w:color="auto"/>
        <w:left w:val="none" w:sz="0" w:space="0" w:color="auto"/>
        <w:bottom w:val="none" w:sz="0" w:space="0" w:color="auto"/>
        <w:right w:val="none" w:sz="0" w:space="0" w:color="auto"/>
      </w:divBdr>
    </w:div>
    <w:div w:id="1445033817">
      <w:bodyDiv w:val="1"/>
      <w:marLeft w:val="0"/>
      <w:marRight w:val="0"/>
      <w:marTop w:val="0"/>
      <w:marBottom w:val="0"/>
      <w:divBdr>
        <w:top w:val="none" w:sz="0" w:space="0" w:color="auto"/>
        <w:left w:val="none" w:sz="0" w:space="0" w:color="auto"/>
        <w:bottom w:val="none" w:sz="0" w:space="0" w:color="auto"/>
        <w:right w:val="none" w:sz="0" w:space="0" w:color="auto"/>
      </w:divBdr>
    </w:div>
    <w:div w:id="1446388047">
      <w:bodyDiv w:val="1"/>
      <w:marLeft w:val="0"/>
      <w:marRight w:val="0"/>
      <w:marTop w:val="0"/>
      <w:marBottom w:val="0"/>
      <w:divBdr>
        <w:top w:val="none" w:sz="0" w:space="0" w:color="auto"/>
        <w:left w:val="none" w:sz="0" w:space="0" w:color="auto"/>
        <w:bottom w:val="none" w:sz="0" w:space="0" w:color="auto"/>
        <w:right w:val="none" w:sz="0" w:space="0" w:color="auto"/>
      </w:divBdr>
    </w:div>
    <w:div w:id="1448542813">
      <w:bodyDiv w:val="1"/>
      <w:marLeft w:val="0"/>
      <w:marRight w:val="0"/>
      <w:marTop w:val="0"/>
      <w:marBottom w:val="0"/>
      <w:divBdr>
        <w:top w:val="none" w:sz="0" w:space="0" w:color="auto"/>
        <w:left w:val="none" w:sz="0" w:space="0" w:color="auto"/>
        <w:bottom w:val="none" w:sz="0" w:space="0" w:color="auto"/>
        <w:right w:val="none" w:sz="0" w:space="0" w:color="auto"/>
      </w:divBdr>
      <w:divsChild>
        <w:div w:id="244847333">
          <w:marLeft w:val="0"/>
          <w:marRight w:val="0"/>
          <w:marTop w:val="0"/>
          <w:marBottom w:val="0"/>
          <w:divBdr>
            <w:top w:val="none" w:sz="0" w:space="0" w:color="auto"/>
            <w:left w:val="none" w:sz="0" w:space="0" w:color="auto"/>
            <w:bottom w:val="none" w:sz="0" w:space="0" w:color="auto"/>
            <w:right w:val="none" w:sz="0" w:space="0" w:color="auto"/>
          </w:divBdr>
          <w:divsChild>
            <w:div w:id="1777209465">
              <w:marLeft w:val="0"/>
              <w:marRight w:val="0"/>
              <w:marTop w:val="0"/>
              <w:marBottom w:val="300"/>
              <w:divBdr>
                <w:top w:val="none" w:sz="0" w:space="0" w:color="auto"/>
                <w:left w:val="none" w:sz="0" w:space="0" w:color="auto"/>
                <w:bottom w:val="none" w:sz="0" w:space="0" w:color="auto"/>
                <w:right w:val="none" w:sz="0" w:space="0" w:color="auto"/>
              </w:divBdr>
            </w:div>
          </w:divsChild>
        </w:div>
        <w:div w:id="1443762406">
          <w:marLeft w:val="0"/>
          <w:marRight w:val="0"/>
          <w:marTop w:val="0"/>
          <w:marBottom w:val="0"/>
          <w:divBdr>
            <w:top w:val="none" w:sz="0" w:space="0" w:color="auto"/>
            <w:left w:val="none" w:sz="0" w:space="0" w:color="auto"/>
            <w:bottom w:val="none" w:sz="0" w:space="0" w:color="auto"/>
            <w:right w:val="none" w:sz="0" w:space="0" w:color="auto"/>
          </w:divBdr>
        </w:div>
      </w:divsChild>
    </w:div>
    <w:div w:id="1462652663">
      <w:bodyDiv w:val="1"/>
      <w:marLeft w:val="0"/>
      <w:marRight w:val="0"/>
      <w:marTop w:val="0"/>
      <w:marBottom w:val="0"/>
      <w:divBdr>
        <w:top w:val="none" w:sz="0" w:space="0" w:color="auto"/>
        <w:left w:val="none" w:sz="0" w:space="0" w:color="auto"/>
        <w:bottom w:val="none" w:sz="0" w:space="0" w:color="auto"/>
        <w:right w:val="none" w:sz="0" w:space="0" w:color="auto"/>
      </w:divBdr>
    </w:div>
    <w:div w:id="1471482449">
      <w:bodyDiv w:val="1"/>
      <w:marLeft w:val="0"/>
      <w:marRight w:val="0"/>
      <w:marTop w:val="0"/>
      <w:marBottom w:val="0"/>
      <w:divBdr>
        <w:top w:val="none" w:sz="0" w:space="0" w:color="auto"/>
        <w:left w:val="none" w:sz="0" w:space="0" w:color="auto"/>
        <w:bottom w:val="none" w:sz="0" w:space="0" w:color="auto"/>
        <w:right w:val="none" w:sz="0" w:space="0" w:color="auto"/>
      </w:divBdr>
    </w:div>
    <w:div w:id="1482967692">
      <w:bodyDiv w:val="1"/>
      <w:marLeft w:val="0"/>
      <w:marRight w:val="0"/>
      <w:marTop w:val="0"/>
      <w:marBottom w:val="0"/>
      <w:divBdr>
        <w:top w:val="none" w:sz="0" w:space="0" w:color="auto"/>
        <w:left w:val="none" w:sz="0" w:space="0" w:color="auto"/>
        <w:bottom w:val="none" w:sz="0" w:space="0" w:color="auto"/>
        <w:right w:val="none" w:sz="0" w:space="0" w:color="auto"/>
      </w:divBdr>
    </w:div>
    <w:div w:id="1497577716">
      <w:bodyDiv w:val="1"/>
      <w:marLeft w:val="0"/>
      <w:marRight w:val="0"/>
      <w:marTop w:val="0"/>
      <w:marBottom w:val="0"/>
      <w:divBdr>
        <w:top w:val="none" w:sz="0" w:space="0" w:color="auto"/>
        <w:left w:val="none" w:sz="0" w:space="0" w:color="auto"/>
        <w:bottom w:val="none" w:sz="0" w:space="0" w:color="auto"/>
        <w:right w:val="none" w:sz="0" w:space="0" w:color="auto"/>
      </w:divBdr>
    </w:div>
    <w:div w:id="1503739116">
      <w:bodyDiv w:val="1"/>
      <w:marLeft w:val="0"/>
      <w:marRight w:val="0"/>
      <w:marTop w:val="0"/>
      <w:marBottom w:val="0"/>
      <w:divBdr>
        <w:top w:val="none" w:sz="0" w:space="0" w:color="auto"/>
        <w:left w:val="none" w:sz="0" w:space="0" w:color="auto"/>
        <w:bottom w:val="none" w:sz="0" w:space="0" w:color="auto"/>
        <w:right w:val="none" w:sz="0" w:space="0" w:color="auto"/>
      </w:divBdr>
    </w:div>
    <w:div w:id="1507355339">
      <w:bodyDiv w:val="1"/>
      <w:marLeft w:val="0"/>
      <w:marRight w:val="0"/>
      <w:marTop w:val="0"/>
      <w:marBottom w:val="0"/>
      <w:divBdr>
        <w:top w:val="none" w:sz="0" w:space="0" w:color="auto"/>
        <w:left w:val="none" w:sz="0" w:space="0" w:color="auto"/>
        <w:bottom w:val="none" w:sz="0" w:space="0" w:color="auto"/>
        <w:right w:val="none" w:sz="0" w:space="0" w:color="auto"/>
      </w:divBdr>
      <w:divsChild>
        <w:div w:id="1467043500">
          <w:marLeft w:val="0"/>
          <w:marRight w:val="0"/>
          <w:marTop w:val="0"/>
          <w:marBottom w:val="0"/>
          <w:divBdr>
            <w:top w:val="none" w:sz="0" w:space="0" w:color="auto"/>
            <w:left w:val="none" w:sz="0" w:space="0" w:color="auto"/>
            <w:bottom w:val="none" w:sz="0" w:space="0" w:color="auto"/>
            <w:right w:val="none" w:sz="0" w:space="0" w:color="auto"/>
          </w:divBdr>
        </w:div>
      </w:divsChild>
    </w:div>
    <w:div w:id="1509247307">
      <w:bodyDiv w:val="1"/>
      <w:marLeft w:val="0"/>
      <w:marRight w:val="0"/>
      <w:marTop w:val="0"/>
      <w:marBottom w:val="0"/>
      <w:divBdr>
        <w:top w:val="none" w:sz="0" w:space="0" w:color="auto"/>
        <w:left w:val="none" w:sz="0" w:space="0" w:color="auto"/>
        <w:bottom w:val="none" w:sz="0" w:space="0" w:color="auto"/>
        <w:right w:val="none" w:sz="0" w:space="0" w:color="auto"/>
      </w:divBdr>
    </w:div>
    <w:div w:id="1513105159">
      <w:bodyDiv w:val="1"/>
      <w:marLeft w:val="0"/>
      <w:marRight w:val="0"/>
      <w:marTop w:val="0"/>
      <w:marBottom w:val="0"/>
      <w:divBdr>
        <w:top w:val="none" w:sz="0" w:space="0" w:color="auto"/>
        <w:left w:val="none" w:sz="0" w:space="0" w:color="auto"/>
        <w:bottom w:val="none" w:sz="0" w:space="0" w:color="auto"/>
        <w:right w:val="none" w:sz="0" w:space="0" w:color="auto"/>
      </w:divBdr>
    </w:div>
    <w:div w:id="1513228915">
      <w:bodyDiv w:val="1"/>
      <w:marLeft w:val="0"/>
      <w:marRight w:val="0"/>
      <w:marTop w:val="0"/>
      <w:marBottom w:val="0"/>
      <w:divBdr>
        <w:top w:val="none" w:sz="0" w:space="0" w:color="auto"/>
        <w:left w:val="none" w:sz="0" w:space="0" w:color="auto"/>
        <w:bottom w:val="none" w:sz="0" w:space="0" w:color="auto"/>
        <w:right w:val="none" w:sz="0" w:space="0" w:color="auto"/>
      </w:divBdr>
    </w:div>
    <w:div w:id="1513229191">
      <w:bodyDiv w:val="1"/>
      <w:marLeft w:val="0"/>
      <w:marRight w:val="0"/>
      <w:marTop w:val="0"/>
      <w:marBottom w:val="0"/>
      <w:divBdr>
        <w:top w:val="none" w:sz="0" w:space="0" w:color="auto"/>
        <w:left w:val="none" w:sz="0" w:space="0" w:color="auto"/>
        <w:bottom w:val="none" w:sz="0" w:space="0" w:color="auto"/>
        <w:right w:val="none" w:sz="0" w:space="0" w:color="auto"/>
      </w:divBdr>
    </w:div>
    <w:div w:id="1527795020">
      <w:bodyDiv w:val="1"/>
      <w:marLeft w:val="0"/>
      <w:marRight w:val="0"/>
      <w:marTop w:val="0"/>
      <w:marBottom w:val="0"/>
      <w:divBdr>
        <w:top w:val="none" w:sz="0" w:space="0" w:color="auto"/>
        <w:left w:val="none" w:sz="0" w:space="0" w:color="auto"/>
        <w:bottom w:val="none" w:sz="0" w:space="0" w:color="auto"/>
        <w:right w:val="none" w:sz="0" w:space="0" w:color="auto"/>
      </w:divBdr>
    </w:div>
    <w:div w:id="1530685692">
      <w:bodyDiv w:val="1"/>
      <w:marLeft w:val="0"/>
      <w:marRight w:val="0"/>
      <w:marTop w:val="0"/>
      <w:marBottom w:val="0"/>
      <w:divBdr>
        <w:top w:val="none" w:sz="0" w:space="0" w:color="auto"/>
        <w:left w:val="none" w:sz="0" w:space="0" w:color="auto"/>
        <w:bottom w:val="none" w:sz="0" w:space="0" w:color="auto"/>
        <w:right w:val="none" w:sz="0" w:space="0" w:color="auto"/>
      </w:divBdr>
    </w:div>
    <w:div w:id="1534229463">
      <w:bodyDiv w:val="1"/>
      <w:marLeft w:val="0"/>
      <w:marRight w:val="0"/>
      <w:marTop w:val="0"/>
      <w:marBottom w:val="0"/>
      <w:divBdr>
        <w:top w:val="none" w:sz="0" w:space="0" w:color="auto"/>
        <w:left w:val="none" w:sz="0" w:space="0" w:color="auto"/>
        <w:bottom w:val="none" w:sz="0" w:space="0" w:color="auto"/>
        <w:right w:val="none" w:sz="0" w:space="0" w:color="auto"/>
      </w:divBdr>
    </w:div>
    <w:div w:id="1535264122">
      <w:bodyDiv w:val="1"/>
      <w:marLeft w:val="0"/>
      <w:marRight w:val="0"/>
      <w:marTop w:val="0"/>
      <w:marBottom w:val="0"/>
      <w:divBdr>
        <w:top w:val="none" w:sz="0" w:space="0" w:color="auto"/>
        <w:left w:val="none" w:sz="0" w:space="0" w:color="auto"/>
        <w:bottom w:val="none" w:sz="0" w:space="0" w:color="auto"/>
        <w:right w:val="none" w:sz="0" w:space="0" w:color="auto"/>
      </w:divBdr>
    </w:div>
    <w:div w:id="1535927628">
      <w:bodyDiv w:val="1"/>
      <w:marLeft w:val="0"/>
      <w:marRight w:val="0"/>
      <w:marTop w:val="0"/>
      <w:marBottom w:val="0"/>
      <w:divBdr>
        <w:top w:val="none" w:sz="0" w:space="0" w:color="auto"/>
        <w:left w:val="none" w:sz="0" w:space="0" w:color="auto"/>
        <w:bottom w:val="none" w:sz="0" w:space="0" w:color="auto"/>
        <w:right w:val="none" w:sz="0" w:space="0" w:color="auto"/>
      </w:divBdr>
    </w:div>
    <w:div w:id="1547526909">
      <w:bodyDiv w:val="1"/>
      <w:marLeft w:val="0"/>
      <w:marRight w:val="0"/>
      <w:marTop w:val="0"/>
      <w:marBottom w:val="0"/>
      <w:divBdr>
        <w:top w:val="none" w:sz="0" w:space="0" w:color="auto"/>
        <w:left w:val="none" w:sz="0" w:space="0" w:color="auto"/>
        <w:bottom w:val="none" w:sz="0" w:space="0" w:color="auto"/>
        <w:right w:val="none" w:sz="0" w:space="0" w:color="auto"/>
      </w:divBdr>
    </w:div>
    <w:div w:id="1548569200">
      <w:bodyDiv w:val="1"/>
      <w:marLeft w:val="0"/>
      <w:marRight w:val="0"/>
      <w:marTop w:val="0"/>
      <w:marBottom w:val="0"/>
      <w:divBdr>
        <w:top w:val="none" w:sz="0" w:space="0" w:color="auto"/>
        <w:left w:val="none" w:sz="0" w:space="0" w:color="auto"/>
        <w:bottom w:val="none" w:sz="0" w:space="0" w:color="auto"/>
        <w:right w:val="none" w:sz="0" w:space="0" w:color="auto"/>
      </w:divBdr>
    </w:div>
    <w:div w:id="1558541367">
      <w:bodyDiv w:val="1"/>
      <w:marLeft w:val="0"/>
      <w:marRight w:val="0"/>
      <w:marTop w:val="0"/>
      <w:marBottom w:val="0"/>
      <w:divBdr>
        <w:top w:val="none" w:sz="0" w:space="0" w:color="auto"/>
        <w:left w:val="none" w:sz="0" w:space="0" w:color="auto"/>
        <w:bottom w:val="none" w:sz="0" w:space="0" w:color="auto"/>
        <w:right w:val="none" w:sz="0" w:space="0" w:color="auto"/>
      </w:divBdr>
    </w:div>
    <w:div w:id="1565333919">
      <w:bodyDiv w:val="1"/>
      <w:marLeft w:val="0"/>
      <w:marRight w:val="0"/>
      <w:marTop w:val="0"/>
      <w:marBottom w:val="0"/>
      <w:divBdr>
        <w:top w:val="none" w:sz="0" w:space="0" w:color="auto"/>
        <w:left w:val="none" w:sz="0" w:space="0" w:color="auto"/>
        <w:bottom w:val="none" w:sz="0" w:space="0" w:color="auto"/>
        <w:right w:val="none" w:sz="0" w:space="0" w:color="auto"/>
      </w:divBdr>
    </w:div>
    <w:div w:id="1566211656">
      <w:bodyDiv w:val="1"/>
      <w:marLeft w:val="0"/>
      <w:marRight w:val="0"/>
      <w:marTop w:val="0"/>
      <w:marBottom w:val="0"/>
      <w:divBdr>
        <w:top w:val="none" w:sz="0" w:space="0" w:color="auto"/>
        <w:left w:val="none" w:sz="0" w:space="0" w:color="auto"/>
        <w:bottom w:val="none" w:sz="0" w:space="0" w:color="auto"/>
        <w:right w:val="none" w:sz="0" w:space="0" w:color="auto"/>
      </w:divBdr>
    </w:div>
    <w:div w:id="1566335623">
      <w:bodyDiv w:val="1"/>
      <w:marLeft w:val="0"/>
      <w:marRight w:val="0"/>
      <w:marTop w:val="0"/>
      <w:marBottom w:val="0"/>
      <w:divBdr>
        <w:top w:val="none" w:sz="0" w:space="0" w:color="auto"/>
        <w:left w:val="none" w:sz="0" w:space="0" w:color="auto"/>
        <w:bottom w:val="none" w:sz="0" w:space="0" w:color="auto"/>
        <w:right w:val="none" w:sz="0" w:space="0" w:color="auto"/>
      </w:divBdr>
    </w:div>
    <w:div w:id="1573538964">
      <w:bodyDiv w:val="1"/>
      <w:marLeft w:val="0"/>
      <w:marRight w:val="0"/>
      <w:marTop w:val="0"/>
      <w:marBottom w:val="0"/>
      <w:divBdr>
        <w:top w:val="none" w:sz="0" w:space="0" w:color="auto"/>
        <w:left w:val="none" w:sz="0" w:space="0" w:color="auto"/>
        <w:bottom w:val="none" w:sz="0" w:space="0" w:color="auto"/>
        <w:right w:val="none" w:sz="0" w:space="0" w:color="auto"/>
      </w:divBdr>
    </w:div>
    <w:div w:id="1576890707">
      <w:bodyDiv w:val="1"/>
      <w:marLeft w:val="0"/>
      <w:marRight w:val="0"/>
      <w:marTop w:val="0"/>
      <w:marBottom w:val="0"/>
      <w:divBdr>
        <w:top w:val="none" w:sz="0" w:space="0" w:color="auto"/>
        <w:left w:val="none" w:sz="0" w:space="0" w:color="auto"/>
        <w:bottom w:val="none" w:sz="0" w:space="0" w:color="auto"/>
        <w:right w:val="none" w:sz="0" w:space="0" w:color="auto"/>
      </w:divBdr>
    </w:div>
    <w:div w:id="1581451124">
      <w:bodyDiv w:val="1"/>
      <w:marLeft w:val="0"/>
      <w:marRight w:val="0"/>
      <w:marTop w:val="0"/>
      <w:marBottom w:val="0"/>
      <w:divBdr>
        <w:top w:val="none" w:sz="0" w:space="0" w:color="auto"/>
        <w:left w:val="none" w:sz="0" w:space="0" w:color="auto"/>
        <w:bottom w:val="none" w:sz="0" w:space="0" w:color="auto"/>
        <w:right w:val="none" w:sz="0" w:space="0" w:color="auto"/>
      </w:divBdr>
    </w:div>
    <w:div w:id="1585063564">
      <w:bodyDiv w:val="1"/>
      <w:marLeft w:val="0"/>
      <w:marRight w:val="0"/>
      <w:marTop w:val="0"/>
      <w:marBottom w:val="0"/>
      <w:divBdr>
        <w:top w:val="none" w:sz="0" w:space="0" w:color="auto"/>
        <w:left w:val="none" w:sz="0" w:space="0" w:color="auto"/>
        <w:bottom w:val="none" w:sz="0" w:space="0" w:color="auto"/>
        <w:right w:val="none" w:sz="0" w:space="0" w:color="auto"/>
      </w:divBdr>
    </w:div>
    <w:div w:id="1588735012">
      <w:bodyDiv w:val="1"/>
      <w:marLeft w:val="0"/>
      <w:marRight w:val="0"/>
      <w:marTop w:val="0"/>
      <w:marBottom w:val="0"/>
      <w:divBdr>
        <w:top w:val="none" w:sz="0" w:space="0" w:color="auto"/>
        <w:left w:val="none" w:sz="0" w:space="0" w:color="auto"/>
        <w:bottom w:val="none" w:sz="0" w:space="0" w:color="auto"/>
        <w:right w:val="none" w:sz="0" w:space="0" w:color="auto"/>
      </w:divBdr>
      <w:divsChild>
        <w:div w:id="1527913031">
          <w:marLeft w:val="0"/>
          <w:marRight w:val="0"/>
          <w:marTop w:val="0"/>
          <w:marBottom w:val="0"/>
          <w:divBdr>
            <w:top w:val="none" w:sz="0" w:space="0" w:color="auto"/>
            <w:left w:val="none" w:sz="0" w:space="0" w:color="auto"/>
            <w:bottom w:val="none" w:sz="0" w:space="0" w:color="auto"/>
            <w:right w:val="none" w:sz="0" w:space="0" w:color="auto"/>
          </w:divBdr>
        </w:div>
      </w:divsChild>
    </w:div>
    <w:div w:id="1591429281">
      <w:bodyDiv w:val="1"/>
      <w:marLeft w:val="0"/>
      <w:marRight w:val="0"/>
      <w:marTop w:val="0"/>
      <w:marBottom w:val="0"/>
      <w:divBdr>
        <w:top w:val="none" w:sz="0" w:space="0" w:color="auto"/>
        <w:left w:val="none" w:sz="0" w:space="0" w:color="auto"/>
        <w:bottom w:val="none" w:sz="0" w:space="0" w:color="auto"/>
        <w:right w:val="none" w:sz="0" w:space="0" w:color="auto"/>
      </w:divBdr>
    </w:div>
    <w:div w:id="1599023152">
      <w:bodyDiv w:val="1"/>
      <w:marLeft w:val="0"/>
      <w:marRight w:val="0"/>
      <w:marTop w:val="0"/>
      <w:marBottom w:val="0"/>
      <w:divBdr>
        <w:top w:val="none" w:sz="0" w:space="0" w:color="auto"/>
        <w:left w:val="none" w:sz="0" w:space="0" w:color="auto"/>
        <w:bottom w:val="none" w:sz="0" w:space="0" w:color="auto"/>
        <w:right w:val="none" w:sz="0" w:space="0" w:color="auto"/>
      </w:divBdr>
    </w:div>
    <w:div w:id="1611426423">
      <w:bodyDiv w:val="1"/>
      <w:marLeft w:val="0"/>
      <w:marRight w:val="0"/>
      <w:marTop w:val="0"/>
      <w:marBottom w:val="0"/>
      <w:divBdr>
        <w:top w:val="none" w:sz="0" w:space="0" w:color="auto"/>
        <w:left w:val="none" w:sz="0" w:space="0" w:color="auto"/>
        <w:bottom w:val="none" w:sz="0" w:space="0" w:color="auto"/>
        <w:right w:val="none" w:sz="0" w:space="0" w:color="auto"/>
      </w:divBdr>
    </w:div>
    <w:div w:id="1617132741">
      <w:bodyDiv w:val="1"/>
      <w:marLeft w:val="0"/>
      <w:marRight w:val="0"/>
      <w:marTop w:val="0"/>
      <w:marBottom w:val="0"/>
      <w:divBdr>
        <w:top w:val="none" w:sz="0" w:space="0" w:color="auto"/>
        <w:left w:val="none" w:sz="0" w:space="0" w:color="auto"/>
        <w:bottom w:val="none" w:sz="0" w:space="0" w:color="auto"/>
        <w:right w:val="none" w:sz="0" w:space="0" w:color="auto"/>
      </w:divBdr>
    </w:div>
    <w:div w:id="1623540461">
      <w:bodyDiv w:val="1"/>
      <w:marLeft w:val="0"/>
      <w:marRight w:val="0"/>
      <w:marTop w:val="0"/>
      <w:marBottom w:val="0"/>
      <w:divBdr>
        <w:top w:val="none" w:sz="0" w:space="0" w:color="auto"/>
        <w:left w:val="none" w:sz="0" w:space="0" w:color="auto"/>
        <w:bottom w:val="none" w:sz="0" w:space="0" w:color="auto"/>
        <w:right w:val="none" w:sz="0" w:space="0" w:color="auto"/>
      </w:divBdr>
    </w:div>
    <w:div w:id="1625312895">
      <w:bodyDiv w:val="1"/>
      <w:marLeft w:val="0"/>
      <w:marRight w:val="0"/>
      <w:marTop w:val="0"/>
      <w:marBottom w:val="0"/>
      <w:divBdr>
        <w:top w:val="none" w:sz="0" w:space="0" w:color="auto"/>
        <w:left w:val="none" w:sz="0" w:space="0" w:color="auto"/>
        <w:bottom w:val="none" w:sz="0" w:space="0" w:color="auto"/>
        <w:right w:val="none" w:sz="0" w:space="0" w:color="auto"/>
      </w:divBdr>
    </w:div>
    <w:div w:id="1625691120">
      <w:bodyDiv w:val="1"/>
      <w:marLeft w:val="0"/>
      <w:marRight w:val="0"/>
      <w:marTop w:val="0"/>
      <w:marBottom w:val="0"/>
      <w:divBdr>
        <w:top w:val="none" w:sz="0" w:space="0" w:color="auto"/>
        <w:left w:val="none" w:sz="0" w:space="0" w:color="auto"/>
        <w:bottom w:val="none" w:sz="0" w:space="0" w:color="auto"/>
        <w:right w:val="none" w:sz="0" w:space="0" w:color="auto"/>
      </w:divBdr>
    </w:div>
    <w:div w:id="1627662468">
      <w:bodyDiv w:val="1"/>
      <w:marLeft w:val="0"/>
      <w:marRight w:val="0"/>
      <w:marTop w:val="0"/>
      <w:marBottom w:val="0"/>
      <w:divBdr>
        <w:top w:val="none" w:sz="0" w:space="0" w:color="auto"/>
        <w:left w:val="none" w:sz="0" w:space="0" w:color="auto"/>
        <w:bottom w:val="none" w:sz="0" w:space="0" w:color="auto"/>
        <w:right w:val="none" w:sz="0" w:space="0" w:color="auto"/>
      </w:divBdr>
    </w:div>
    <w:div w:id="1631863096">
      <w:bodyDiv w:val="1"/>
      <w:marLeft w:val="0"/>
      <w:marRight w:val="0"/>
      <w:marTop w:val="0"/>
      <w:marBottom w:val="0"/>
      <w:divBdr>
        <w:top w:val="none" w:sz="0" w:space="0" w:color="auto"/>
        <w:left w:val="none" w:sz="0" w:space="0" w:color="auto"/>
        <w:bottom w:val="none" w:sz="0" w:space="0" w:color="auto"/>
        <w:right w:val="none" w:sz="0" w:space="0" w:color="auto"/>
      </w:divBdr>
    </w:div>
    <w:div w:id="1642542880">
      <w:bodyDiv w:val="1"/>
      <w:marLeft w:val="0"/>
      <w:marRight w:val="0"/>
      <w:marTop w:val="0"/>
      <w:marBottom w:val="0"/>
      <w:divBdr>
        <w:top w:val="none" w:sz="0" w:space="0" w:color="auto"/>
        <w:left w:val="none" w:sz="0" w:space="0" w:color="auto"/>
        <w:bottom w:val="none" w:sz="0" w:space="0" w:color="auto"/>
        <w:right w:val="none" w:sz="0" w:space="0" w:color="auto"/>
      </w:divBdr>
    </w:div>
    <w:div w:id="1643585192">
      <w:bodyDiv w:val="1"/>
      <w:marLeft w:val="0"/>
      <w:marRight w:val="0"/>
      <w:marTop w:val="0"/>
      <w:marBottom w:val="0"/>
      <w:divBdr>
        <w:top w:val="none" w:sz="0" w:space="0" w:color="auto"/>
        <w:left w:val="none" w:sz="0" w:space="0" w:color="auto"/>
        <w:bottom w:val="none" w:sz="0" w:space="0" w:color="auto"/>
        <w:right w:val="none" w:sz="0" w:space="0" w:color="auto"/>
      </w:divBdr>
    </w:div>
    <w:div w:id="1647081554">
      <w:bodyDiv w:val="1"/>
      <w:marLeft w:val="0"/>
      <w:marRight w:val="0"/>
      <w:marTop w:val="0"/>
      <w:marBottom w:val="0"/>
      <w:divBdr>
        <w:top w:val="none" w:sz="0" w:space="0" w:color="auto"/>
        <w:left w:val="none" w:sz="0" w:space="0" w:color="auto"/>
        <w:bottom w:val="none" w:sz="0" w:space="0" w:color="auto"/>
        <w:right w:val="none" w:sz="0" w:space="0" w:color="auto"/>
      </w:divBdr>
    </w:div>
    <w:div w:id="1649047723">
      <w:bodyDiv w:val="1"/>
      <w:marLeft w:val="0"/>
      <w:marRight w:val="0"/>
      <w:marTop w:val="0"/>
      <w:marBottom w:val="0"/>
      <w:divBdr>
        <w:top w:val="none" w:sz="0" w:space="0" w:color="auto"/>
        <w:left w:val="none" w:sz="0" w:space="0" w:color="auto"/>
        <w:bottom w:val="none" w:sz="0" w:space="0" w:color="auto"/>
        <w:right w:val="none" w:sz="0" w:space="0" w:color="auto"/>
      </w:divBdr>
    </w:div>
    <w:div w:id="1649505996">
      <w:bodyDiv w:val="1"/>
      <w:marLeft w:val="0"/>
      <w:marRight w:val="0"/>
      <w:marTop w:val="0"/>
      <w:marBottom w:val="0"/>
      <w:divBdr>
        <w:top w:val="none" w:sz="0" w:space="0" w:color="auto"/>
        <w:left w:val="none" w:sz="0" w:space="0" w:color="auto"/>
        <w:bottom w:val="none" w:sz="0" w:space="0" w:color="auto"/>
        <w:right w:val="none" w:sz="0" w:space="0" w:color="auto"/>
      </w:divBdr>
    </w:div>
    <w:div w:id="1657761097">
      <w:bodyDiv w:val="1"/>
      <w:marLeft w:val="0"/>
      <w:marRight w:val="0"/>
      <w:marTop w:val="0"/>
      <w:marBottom w:val="0"/>
      <w:divBdr>
        <w:top w:val="none" w:sz="0" w:space="0" w:color="auto"/>
        <w:left w:val="none" w:sz="0" w:space="0" w:color="auto"/>
        <w:bottom w:val="none" w:sz="0" w:space="0" w:color="auto"/>
        <w:right w:val="none" w:sz="0" w:space="0" w:color="auto"/>
      </w:divBdr>
    </w:div>
    <w:div w:id="1668972057">
      <w:bodyDiv w:val="1"/>
      <w:marLeft w:val="0"/>
      <w:marRight w:val="0"/>
      <w:marTop w:val="0"/>
      <w:marBottom w:val="0"/>
      <w:divBdr>
        <w:top w:val="none" w:sz="0" w:space="0" w:color="auto"/>
        <w:left w:val="none" w:sz="0" w:space="0" w:color="auto"/>
        <w:bottom w:val="none" w:sz="0" w:space="0" w:color="auto"/>
        <w:right w:val="none" w:sz="0" w:space="0" w:color="auto"/>
      </w:divBdr>
    </w:div>
    <w:div w:id="1669214087">
      <w:bodyDiv w:val="1"/>
      <w:marLeft w:val="0"/>
      <w:marRight w:val="0"/>
      <w:marTop w:val="0"/>
      <w:marBottom w:val="0"/>
      <w:divBdr>
        <w:top w:val="none" w:sz="0" w:space="0" w:color="auto"/>
        <w:left w:val="none" w:sz="0" w:space="0" w:color="auto"/>
        <w:bottom w:val="none" w:sz="0" w:space="0" w:color="auto"/>
        <w:right w:val="none" w:sz="0" w:space="0" w:color="auto"/>
      </w:divBdr>
      <w:divsChild>
        <w:div w:id="1792478466">
          <w:marLeft w:val="0"/>
          <w:marRight w:val="0"/>
          <w:marTop w:val="0"/>
          <w:marBottom w:val="0"/>
          <w:divBdr>
            <w:top w:val="none" w:sz="0" w:space="0" w:color="auto"/>
            <w:left w:val="none" w:sz="0" w:space="0" w:color="auto"/>
            <w:bottom w:val="none" w:sz="0" w:space="0" w:color="auto"/>
            <w:right w:val="none" w:sz="0" w:space="0" w:color="auto"/>
          </w:divBdr>
          <w:divsChild>
            <w:div w:id="505752582">
              <w:marLeft w:val="0"/>
              <w:marRight w:val="0"/>
              <w:marTop w:val="0"/>
              <w:marBottom w:val="300"/>
              <w:divBdr>
                <w:top w:val="none" w:sz="0" w:space="0" w:color="auto"/>
                <w:left w:val="none" w:sz="0" w:space="0" w:color="auto"/>
                <w:bottom w:val="none" w:sz="0" w:space="0" w:color="auto"/>
                <w:right w:val="none" w:sz="0" w:space="0" w:color="auto"/>
              </w:divBdr>
            </w:div>
          </w:divsChild>
        </w:div>
        <w:div w:id="524826504">
          <w:marLeft w:val="0"/>
          <w:marRight w:val="0"/>
          <w:marTop w:val="0"/>
          <w:marBottom w:val="0"/>
          <w:divBdr>
            <w:top w:val="none" w:sz="0" w:space="0" w:color="auto"/>
            <w:left w:val="none" w:sz="0" w:space="0" w:color="auto"/>
            <w:bottom w:val="none" w:sz="0" w:space="0" w:color="auto"/>
            <w:right w:val="none" w:sz="0" w:space="0" w:color="auto"/>
          </w:divBdr>
        </w:div>
      </w:divsChild>
    </w:div>
    <w:div w:id="1675107851">
      <w:bodyDiv w:val="1"/>
      <w:marLeft w:val="0"/>
      <w:marRight w:val="0"/>
      <w:marTop w:val="0"/>
      <w:marBottom w:val="0"/>
      <w:divBdr>
        <w:top w:val="none" w:sz="0" w:space="0" w:color="auto"/>
        <w:left w:val="none" w:sz="0" w:space="0" w:color="auto"/>
        <w:bottom w:val="none" w:sz="0" w:space="0" w:color="auto"/>
        <w:right w:val="none" w:sz="0" w:space="0" w:color="auto"/>
      </w:divBdr>
    </w:div>
    <w:div w:id="1675718273">
      <w:bodyDiv w:val="1"/>
      <w:marLeft w:val="0"/>
      <w:marRight w:val="0"/>
      <w:marTop w:val="0"/>
      <w:marBottom w:val="0"/>
      <w:divBdr>
        <w:top w:val="none" w:sz="0" w:space="0" w:color="auto"/>
        <w:left w:val="none" w:sz="0" w:space="0" w:color="auto"/>
        <w:bottom w:val="none" w:sz="0" w:space="0" w:color="auto"/>
        <w:right w:val="none" w:sz="0" w:space="0" w:color="auto"/>
      </w:divBdr>
      <w:divsChild>
        <w:div w:id="1422602284">
          <w:marLeft w:val="0"/>
          <w:marRight w:val="0"/>
          <w:marTop w:val="0"/>
          <w:marBottom w:val="0"/>
          <w:divBdr>
            <w:top w:val="none" w:sz="0" w:space="0" w:color="auto"/>
            <w:left w:val="none" w:sz="0" w:space="0" w:color="auto"/>
            <w:bottom w:val="none" w:sz="0" w:space="0" w:color="auto"/>
            <w:right w:val="none" w:sz="0" w:space="0" w:color="auto"/>
          </w:divBdr>
        </w:div>
      </w:divsChild>
    </w:div>
    <w:div w:id="1680768408">
      <w:bodyDiv w:val="1"/>
      <w:marLeft w:val="0"/>
      <w:marRight w:val="0"/>
      <w:marTop w:val="0"/>
      <w:marBottom w:val="0"/>
      <w:divBdr>
        <w:top w:val="none" w:sz="0" w:space="0" w:color="auto"/>
        <w:left w:val="none" w:sz="0" w:space="0" w:color="auto"/>
        <w:bottom w:val="none" w:sz="0" w:space="0" w:color="auto"/>
        <w:right w:val="none" w:sz="0" w:space="0" w:color="auto"/>
      </w:divBdr>
    </w:div>
    <w:div w:id="1680768973">
      <w:bodyDiv w:val="1"/>
      <w:marLeft w:val="0"/>
      <w:marRight w:val="0"/>
      <w:marTop w:val="0"/>
      <w:marBottom w:val="0"/>
      <w:divBdr>
        <w:top w:val="none" w:sz="0" w:space="0" w:color="auto"/>
        <w:left w:val="none" w:sz="0" w:space="0" w:color="auto"/>
        <w:bottom w:val="none" w:sz="0" w:space="0" w:color="auto"/>
        <w:right w:val="none" w:sz="0" w:space="0" w:color="auto"/>
      </w:divBdr>
    </w:div>
    <w:div w:id="1684549036">
      <w:bodyDiv w:val="1"/>
      <w:marLeft w:val="0"/>
      <w:marRight w:val="0"/>
      <w:marTop w:val="0"/>
      <w:marBottom w:val="0"/>
      <w:divBdr>
        <w:top w:val="none" w:sz="0" w:space="0" w:color="auto"/>
        <w:left w:val="none" w:sz="0" w:space="0" w:color="auto"/>
        <w:bottom w:val="none" w:sz="0" w:space="0" w:color="auto"/>
        <w:right w:val="none" w:sz="0" w:space="0" w:color="auto"/>
      </w:divBdr>
    </w:div>
    <w:div w:id="1688484696">
      <w:bodyDiv w:val="1"/>
      <w:marLeft w:val="0"/>
      <w:marRight w:val="0"/>
      <w:marTop w:val="0"/>
      <w:marBottom w:val="0"/>
      <w:divBdr>
        <w:top w:val="none" w:sz="0" w:space="0" w:color="auto"/>
        <w:left w:val="none" w:sz="0" w:space="0" w:color="auto"/>
        <w:bottom w:val="none" w:sz="0" w:space="0" w:color="auto"/>
        <w:right w:val="none" w:sz="0" w:space="0" w:color="auto"/>
      </w:divBdr>
    </w:div>
    <w:div w:id="1691878052">
      <w:bodyDiv w:val="1"/>
      <w:marLeft w:val="0"/>
      <w:marRight w:val="0"/>
      <w:marTop w:val="0"/>
      <w:marBottom w:val="0"/>
      <w:divBdr>
        <w:top w:val="none" w:sz="0" w:space="0" w:color="auto"/>
        <w:left w:val="none" w:sz="0" w:space="0" w:color="auto"/>
        <w:bottom w:val="none" w:sz="0" w:space="0" w:color="auto"/>
        <w:right w:val="none" w:sz="0" w:space="0" w:color="auto"/>
      </w:divBdr>
    </w:div>
    <w:div w:id="1696543959">
      <w:bodyDiv w:val="1"/>
      <w:marLeft w:val="0"/>
      <w:marRight w:val="0"/>
      <w:marTop w:val="0"/>
      <w:marBottom w:val="0"/>
      <w:divBdr>
        <w:top w:val="none" w:sz="0" w:space="0" w:color="auto"/>
        <w:left w:val="none" w:sz="0" w:space="0" w:color="auto"/>
        <w:bottom w:val="none" w:sz="0" w:space="0" w:color="auto"/>
        <w:right w:val="none" w:sz="0" w:space="0" w:color="auto"/>
      </w:divBdr>
    </w:div>
    <w:div w:id="1698120284">
      <w:bodyDiv w:val="1"/>
      <w:marLeft w:val="0"/>
      <w:marRight w:val="0"/>
      <w:marTop w:val="0"/>
      <w:marBottom w:val="0"/>
      <w:divBdr>
        <w:top w:val="none" w:sz="0" w:space="0" w:color="auto"/>
        <w:left w:val="none" w:sz="0" w:space="0" w:color="auto"/>
        <w:bottom w:val="none" w:sz="0" w:space="0" w:color="auto"/>
        <w:right w:val="none" w:sz="0" w:space="0" w:color="auto"/>
      </w:divBdr>
    </w:div>
    <w:div w:id="1704282260">
      <w:bodyDiv w:val="1"/>
      <w:marLeft w:val="0"/>
      <w:marRight w:val="0"/>
      <w:marTop w:val="0"/>
      <w:marBottom w:val="0"/>
      <w:divBdr>
        <w:top w:val="none" w:sz="0" w:space="0" w:color="auto"/>
        <w:left w:val="none" w:sz="0" w:space="0" w:color="auto"/>
        <w:bottom w:val="none" w:sz="0" w:space="0" w:color="auto"/>
        <w:right w:val="none" w:sz="0" w:space="0" w:color="auto"/>
      </w:divBdr>
    </w:div>
    <w:div w:id="1704548603">
      <w:bodyDiv w:val="1"/>
      <w:marLeft w:val="0"/>
      <w:marRight w:val="0"/>
      <w:marTop w:val="0"/>
      <w:marBottom w:val="0"/>
      <w:divBdr>
        <w:top w:val="none" w:sz="0" w:space="0" w:color="auto"/>
        <w:left w:val="none" w:sz="0" w:space="0" w:color="auto"/>
        <w:bottom w:val="none" w:sz="0" w:space="0" w:color="auto"/>
        <w:right w:val="none" w:sz="0" w:space="0" w:color="auto"/>
      </w:divBdr>
    </w:div>
    <w:div w:id="1708220904">
      <w:bodyDiv w:val="1"/>
      <w:marLeft w:val="0"/>
      <w:marRight w:val="0"/>
      <w:marTop w:val="0"/>
      <w:marBottom w:val="0"/>
      <w:divBdr>
        <w:top w:val="none" w:sz="0" w:space="0" w:color="auto"/>
        <w:left w:val="none" w:sz="0" w:space="0" w:color="auto"/>
        <w:bottom w:val="none" w:sz="0" w:space="0" w:color="auto"/>
        <w:right w:val="none" w:sz="0" w:space="0" w:color="auto"/>
      </w:divBdr>
    </w:div>
    <w:div w:id="1715304755">
      <w:bodyDiv w:val="1"/>
      <w:marLeft w:val="0"/>
      <w:marRight w:val="0"/>
      <w:marTop w:val="0"/>
      <w:marBottom w:val="0"/>
      <w:divBdr>
        <w:top w:val="none" w:sz="0" w:space="0" w:color="auto"/>
        <w:left w:val="none" w:sz="0" w:space="0" w:color="auto"/>
        <w:bottom w:val="none" w:sz="0" w:space="0" w:color="auto"/>
        <w:right w:val="none" w:sz="0" w:space="0" w:color="auto"/>
      </w:divBdr>
    </w:div>
    <w:div w:id="1722359964">
      <w:bodyDiv w:val="1"/>
      <w:marLeft w:val="0"/>
      <w:marRight w:val="0"/>
      <w:marTop w:val="0"/>
      <w:marBottom w:val="0"/>
      <w:divBdr>
        <w:top w:val="none" w:sz="0" w:space="0" w:color="auto"/>
        <w:left w:val="none" w:sz="0" w:space="0" w:color="auto"/>
        <w:bottom w:val="none" w:sz="0" w:space="0" w:color="auto"/>
        <w:right w:val="none" w:sz="0" w:space="0" w:color="auto"/>
      </w:divBdr>
    </w:div>
    <w:div w:id="1722627931">
      <w:bodyDiv w:val="1"/>
      <w:marLeft w:val="0"/>
      <w:marRight w:val="0"/>
      <w:marTop w:val="0"/>
      <w:marBottom w:val="0"/>
      <w:divBdr>
        <w:top w:val="none" w:sz="0" w:space="0" w:color="auto"/>
        <w:left w:val="none" w:sz="0" w:space="0" w:color="auto"/>
        <w:bottom w:val="none" w:sz="0" w:space="0" w:color="auto"/>
        <w:right w:val="none" w:sz="0" w:space="0" w:color="auto"/>
      </w:divBdr>
    </w:div>
    <w:div w:id="1727216028">
      <w:bodyDiv w:val="1"/>
      <w:marLeft w:val="0"/>
      <w:marRight w:val="0"/>
      <w:marTop w:val="0"/>
      <w:marBottom w:val="0"/>
      <w:divBdr>
        <w:top w:val="none" w:sz="0" w:space="0" w:color="auto"/>
        <w:left w:val="none" w:sz="0" w:space="0" w:color="auto"/>
        <w:bottom w:val="none" w:sz="0" w:space="0" w:color="auto"/>
        <w:right w:val="none" w:sz="0" w:space="0" w:color="auto"/>
      </w:divBdr>
    </w:div>
    <w:div w:id="1730954075">
      <w:bodyDiv w:val="1"/>
      <w:marLeft w:val="0"/>
      <w:marRight w:val="0"/>
      <w:marTop w:val="0"/>
      <w:marBottom w:val="0"/>
      <w:divBdr>
        <w:top w:val="none" w:sz="0" w:space="0" w:color="auto"/>
        <w:left w:val="none" w:sz="0" w:space="0" w:color="auto"/>
        <w:bottom w:val="none" w:sz="0" w:space="0" w:color="auto"/>
        <w:right w:val="none" w:sz="0" w:space="0" w:color="auto"/>
      </w:divBdr>
    </w:div>
    <w:div w:id="1734352478">
      <w:bodyDiv w:val="1"/>
      <w:marLeft w:val="0"/>
      <w:marRight w:val="0"/>
      <w:marTop w:val="0"/>
      <w:marBottom w:val="0"/>
      <w:divBdr>
        <w:top w:val="none" w:sz="0" w:space="0" w:color="auto"/>
        <w:left w:val="none" w:sz="0" w:space="0" w:color="auto"/>
        <w:bottom w:val="none" w:sz="0" w:space="0" w:color="auto"/>
        <w:right w:val="none" w:sz="0" w:space="0" w:color="auto"/>
      </w:divBdr>
    </w:div>
    <w:div w:id="1735395379">
      <w:bodyDiv w:val="1"/>
      <w:marLeft w:val="0"/>
      <w:marRight w:val="0"/>
      <w:marTop w:val="0"/>
      <w:marBottom w:val="0"/>
      <w:divBdr>
        <w:top w:val="none" w:sz="0" w:space="0" w:color="auto"/>
        <w:left w:val="none" w:sz="0" w:space="0" w:color="auto"/>
        <w:bottom w:val="none" w:sz="0" w:space="0" w:color="auto"/>
        <w:right w:val="none" w:sz="0" w:space="0" w:color="auto"/>
      </w:divBdr>
    </w:div>
    <w:div w:id="1743527938">
      <w:bodyDiv w:val="1"/>
      <w:marLeft w:val="0"/>
      <w:marRight w:val="0"/>
      <w:marTop w:val="0"/>
      <w:marBottom w:val="0"/>
      <w:divBdr>
        <w:top w:val="none" w:sz="0" w:space="0" w:color="auto"/>
        <w:left w:val="none" w:sz="0" w:space="0" w:color="auto"/>
        <w:bottom w:val="none" w:sz="0" w:space="0" w:color="auto"/>
        <w:right w:val="none" w:sz="0" w:space="0" w:color="auto"/>
      </w:divBdr>
    </w:div>
    <w:div w:id="1748725387">
      <w:bodyDiv w:val="1"/>
      <w:marLeft w:val="0"/>
      <w:marRight w:val="0"/>
      <w:marTop w:val="0"/>
      <w:marBottom w:val="0"/>
      <w:divBdr>
        <w:top w:val="none" w:sz="0" w:space="0" w:color="auto"/>
        <w:left w:val="none" w:sz="0" w:space="0" w:color="auto"/>
        <w:bottom w:val="none" w:sz="0" w:space="0" w:color="auto"/>
        <w:right w:val="none" w:sz="0" w:space="0" w:color="auto"/>
      </w:divBdr>
    </w:div>
    <w:div w:id="1750617472">
      <w:bodyDiv w:val="1"/>
      <w:marLeft w:val="0"/>
      <w:marRight w:val="0"/>
      <w:marTop w:val="0"/>
      <w:marBottom w:val="0"/>
      <w:divBdr>
        <w:top w:val="none" w:sz="0" w:space="0" w:color="auto"/>
        <w:left w:val="none" w:sz="0" w:space="0" w:color="auto"/>
        <w:bottom w:val="none" w:sz="0" w:space="0" w:color="auto"/>
        <w:right w:val="none" w:sz="0" w:space="0" w:color="auto"/>
      </w:divBdr>
    </w:div>
    <w:div w:id="1762020329">
      <w:bodyDiv w:val="1"/>
      <w:marLeft w:val="0"/>
      <w:marRight w:val="0"/>
      <w:marTop w:val="0"/>
      <w:marBottom w:val="0"/>
      <w:divBdr>
        <w:top w:val="none" w:sz="0" w:space="0" w:color="auto"/>
        <w:left w:val="none" w:sz="0" w:space="0" w:color="auto"/>
        <w:bottom w:val="none" w:sz="0" w:space="0" w:color="auto"/>
        <w:right w:val="none" w:sz="0" w:space="0" w:color="auto"/>
      </w:divBdr>
    </w:div>
    <w:div w:id="1762988773">
      <w:bodyDiv w:val="1"/>
      <w:marLeft w:val="0"/>
      <w:marRight w:val="0"/>
      <w:marTop w:val="0"/>
      <w:marBottom w:val="0"/>
      <w:divBdr>
        <w:top w:val="none" w:sz="0" w:space="0" w:color="auto"/>
        <w:left w:val="none" w:sz="0" w:space="0" w:color="auto"/>
        <w:bottom w:val="none" w:sz="0" w:space="0" w:color="auto"/>
        <w:right w:val="none" w:sz="0" w:space="0" w:color="auto"/>
      </w:divBdr>
    </w:div>
    <w:div w:id="1766461311">
      <w:bodyDiv w:val="1"/>
      <w:marLeft w:val="0"/>
      <w:marRight w:val="0"/>
      <w:marTop w:val="0"/>
      <w:marBottom w:val="0"/>
      <w:divBdr>
        <w:top w:val="none" w:sz="0" w:space="0" w:color="auto"/>
        <w:left w:val="none" w:sz="0" w:space="0" w:color="auto"/>
        <w:bottom w:val="none" w:sz="0" w:space="0" w:color="auto"/>
        <w:right w:val="none" w:sz="0" w:space="0" w:color="auto"/>
      </w:divBdr>
    </w:div>
    <w:div w:id="1771969930">
      <w:bodyDiv w:val="1"/>
      <w:marLeft w:val="0"/>
      <w:marRight w:val="0"/>
      <w:marTop w:val="0"/>
      <w:marBottom w:val="0"/>
      <w:divBdr>
        <w:top w:val="none" w:sz="0" w:space="0" w:color="auto"/>
        <w:left w:val="none" w:sz="0" w:space="0" w:color="auto"/>
        <w:bottom w:val="none" w:sz="0" w:space="0" w:color="auto"/>
        <w:right w:val="none" w:sz="0" w:space="0" w:color="auto"/>
      </w:divBdr>
    </w:div>
    <w:div w:id="1772626350">
      <w:bodyDiv w:val="1"/>
      <w:marLeft w:val="0"/>
      <w:marRight w:val="0"/>
      <w:marTop w:val="0"/>
      <w:marBottom w:val="0"/>
      <w:divBdr>
        <w:top w:val="none" w:sz="0" w:space="0" w:color="auto"/>
        <w:left w:val="none" w:sz="0" w:space="0" w:color="auto"/>
        <w:bottom w:val="none" w:sz="0" w:space="0" w:color="auto"/>
        <w:right w:val="none" w:sz="0" w:space="0" w:color="auto"/>
      </w:divBdr>
    </w:div>
    <w:div w:id="1778019856">
      <w:bodyDiv w:val="1"/>
      <w:marLeft w:val="0"/>
      <w:marRight w:val="0"/>
      <w:marTop w:val="0"/>
      <w:marBottom w:val="0"/>
      <w:divBdr>
        <w:top w:val="none" w:sz="0" w:space="0" w:color="auto"/>
        <w:left w:val="none" w:sz="0" w:space="0" w:color="auto"/>
        <w:bottom w:val="none" w:sz="0" w:space="0" w:color="auto"/>
        <w:right w:val="none" w:sz="0" w:space="0" w:color="auto"/>
      </w:divBdr>
    </w:div>
    <w:div w:id="1781337634">
      <w:bodyDiv w:val="1"/>
      <w:marLeft w:val="0"/>
      <w:marRight w:val="0"/>
      <w:marTop w:val="0"/>
      <w:marBottom w:val="0"/>
      <w:divBdr>
        <w:top w:val="none" w:sz="0" w:space="0" w:color="auto"/>
        <w:left w:val="none" w:sz="0" w:space="0" w:color="auto"/>
        <w:bottom w:val="none" w:sz="0" w:space="0" w:color="auto"/>
        <w:right w:val="none" w:sz="0" w:space="0" w:color="auto"/>
      </w:divBdr>
    </w:div>
    <w:div w:id="1791631046">
      <w:bodyDiv w:val="1"/>
      <w:marLeft w:val="0"/>
      <w:marRight w:val="0"/>
      <w:marTop w:val="0"/>
      <w:marBottom w:val="0"/>
      <w:divBdr>
        <w:top w:val="none" w:sz="0" w:space="0" w:color="auto"/>
        <w:left w:val="none" w:sz="0" w:space="0" w:color="auto"/>
        <w:bottom w:val="none" w:sz="0" w:space="0" w:color="auto"/>
        <w:right w:val="none" w:sz="0" w:space="0" w:color="auto"/>
      </w:divBdr>
    </w:div>
    <w:div w:id="1792816744">
      <w:bodyDiv w:val="1"/>
      <w:marLeft w:val="0"/>
      <w:marRight w:val="0"/>
      <w:marTop w:val="0"/>
      <w:marBottom w:val="0"/>
      <w:divBdr>
        <w:top w:val="none" w:sz="0" w:space="0" w:color="auto"/>
        <w:left w:val="none" w:sz="0" w:space="0" w:color="auto"/>
        <w:bottom w:val="none" w:sz="0" w:space="0" w:color="auto"/>
        <w:right w:val="none" w:sz="0" w:space="0" w:color="auto"/>
      </w:divBdr>
    </w:div>
    <w:div w:id="1807891203">
      <w:bodyDiv w:val="1"/>
      <w:marLeft w:val="0"/>
      <w:marRight w:val="0"/>
      <w:marTop w:val="0"/>
      <w:marBottom w:val="0"/>
      <w:divBdr>
        <w:top w:val="none" w:sz="0" w:space="0" w:color="auto"/>
        <w:left w:val="none" w:sz="0" w:space="0" w:color="auto"/>
        <w:bottom w:val="none" w:sz="0" w:space="0" w:color="auto"/>
        <w:right w:val="none" w:sz="0" w:space="0" w:color="auto"/>
      </w:divBdr>
    </w:div>
    <w:div w:id="1813253476">
      <w:bodyDiv w:val="1"/>
      <w:marLeft w:val="0"/>
      <w:marRight w:val="0"/>
      <w:marTop w:val="0"/>
      <w:marBottom w:val="0"/>
      <w:divBdr>
        <w:top w:val="none" w:sz="0" w:space="0" w:color="auto"/>
        <w:left w:val="none" w:sz="0" w:space="0" w:color="auto"/>
        <w:bottom w:val="none" w:sz="0" w:space="0" w:color="auto"/>
        <w:right w:val="none" w:sz="0" w:space="0" w:color="auto"/>
      </w:divBdr>
    </w:div>
    <w:div w:id="1826241661">
      <w:bodyDiv w:val="1"/>
      <w:marLeft w:val="0"/>
      <w:marRight w:val="0"/>
      <w:marTop w:val="0"/>
      <w:marBottom w:val="0"/>
      <w:divBdr>
        <w:top w:val="none" w:sz="0" w:space="0" w:color="auto"/>
        <w:left w:val="none" w:sz="0" w:space="0" w:color="auto"/>
        <w:bottom w:val="none" w:sz="0" w:space="0" w:color="auto"/>
        <w:right w:val="none" w:sz="0" w:space="0" w:color="auto"/>
      </w:divBdr>
    </w:div>
    <w:div w:id="1826895768">
      <w:bodyDiv w:val="1"/>
      <w:marLeft w:val="0"/>
      <w:marRight w:val="0"/>
      <w:marTop w:val="0"/>
      <w:marBottom w:val="0"/>
      <w:divBdr>
        <w:top w:val="none" w:sz="0" w:space="0" w:color="auto"/>
        <w:left w:val="none" w:sz="0" w:space="0" w:color="auto"/>
        <w:bottom w:val="none" w:sz="0" w:space="0" w:color="auto"/>
        <w:right w:val="none" w:sz="0" w:space="0" w:color="auto"/>
      </w:divBdr>
    </w:div>
    <w:div w:id="1829010423">
      <w:bodyDiv w:val="1"/>
      <w:marLeft w:val="0"/>
      <w:marRight w:val="0"/>
      <w:marTop w:val="0"/>
      <w:marBottom w:val="0"/>
      <w:divBdr>
        <w:top w:val="none" w:sz="0" w:space="0" w:color="auto"/>
        <w:left w:val="none" w:sz="0" w:space="0" w:color="auto"/>
        <w:bottom w:val="none" w:sz="0" w:space="0" w:color="auto"/>
        <w:right w:val="none" w:sz="0" w:space="0" w:color="auto"/>
      </w:divBdr>
    </w:div>
    <w:div w:id="1829903540">
      <w:bodyDiv w:val="1"/>
      <w:marLeft w:val="0"/>
      <w:marRight w:val="0"/>
      <w:marTop w:val="0"/>
      <w:marBottom w:val="0"/>
      <w:divBdr>
        <w:top w:val="none" w:sz="0" w:space="0" w:color="auto"/>
        <w:left w:val="none" w:sz="0" w:space="0" w:color="auto"/>
        <w:bottom w:val="none" w:sz="0" w:space="0" w:color="auto"/>
        <w:right w:val="none" w:sz="0" w:space="0" w:color="auto"/>
      </w:divBdr>
    </w:div>
    <w:div w:id="1830167286">
      <w:bodyDiv w:val="1"/>
      <w:marLeft w:val="0"/>
      <w:marRight w:val="0"/>
      <w:marTop w:val="0"/>
      <w:marBottom w:val="0"/>
      <w:divBdr>
        <w:top w:val="none" w:sz="0" w:space="0" w:color="auto"/>
        <w:left w:val="none" w:sz="0" w:space="0" w:color="auto"/>
        <w:bottom w:val="none" w:sz="0" w:space="0" w:color="auto"/>
        <w:right w:val="none" w:sz="0" w:space="0" w:color="auto"/>
      </w:divBdr>
      <w:divsChild>
        <w:div w:id="2137945734">
          <w:marLeft w:val="0"/>
          <w:marRight w:val="0"/>
          <w:marTop w:val="0"/>
          <w:marBottom w:val="0"/>
          <w:divBdr>
            <w:top w:val="none" w:sz="0" w:space="0" w:color="auto"/>
            <w:left w:val="none" w:sz="0" w:space="0" w:color="auto"/>
            <w:bottom w:val="none" w:sz="0" w:space="0" w:color="auto"/>
            <w:right w:val="none" w:sz="0" w:space="0" w:color="auto"/>
          </w:divBdr>
        </w:div>
      </w:divsChild>
    </w:div>
    <w:div w:id="1842348782">
      <w:bodyDiv w:val="1"/>
      <w:marLeft w:val="0"/>
      <w:marRight w:val="0"/>
      <w:marTop w:val="0"/>
      <w:marBottom w:val="0"/>
      <w:divBdr>
        <w:top w:val="none" w:sz="0" w:space="0" w:color="auto"/>
        <w:left w:val="none" w:sz="0" w:space="0" w:color="auto"/>
        <w:bottom w:val="none" w:sz="0" w:space="0" w:color="auto"/>
        <w:right w:val="none" w:sz="0" w:space="0" w:color="auto"/>
      </w:divBdr>
      <w:divsChild>
        <w:div w:id="815300363">
          <w:marLeft w:val="0"/>
          <w:marRight w:val="0"/>
          <w:marTop w:val="0"/>
          <w:marBottom w:val="0"/>
          <w:divBdr>
            <w:top w:val="none" w:sz="0" w:space="0" w:color="auto"/>
            <w:left w:val="none" w:sz="0" w:space="0" w:color="auto"/>
            <w:bottom w:val="none" w:sz="0" w:space="0" w:color="auto"/>
            <w:right w:val="none" w:sz="0" w:space="0" w:color="auto"/>
          </w:divBdr>
        </w:div>
      </w:divsChild>
    </w:div>
    <w:div w:id="1850363443">
      <w:bodyDiv w:val="1"/>
      <w:marLeft w:val="0"/>
      <w:marRight w:val="0"/>
      <w:marTop w:val="0"/>
      <w:marBottom w:val="0"/>
      <w:divBdr>
        <w:top w:val="none" w:sz="0" w:space="0" w:color="auto"/>
        <w:left w:val="none" w:sz="0" w:space="0" w:color="auto"/>
        <w:bottom w:val="none" w:sz="0" w:space="0" w:color="auto"/>
        <w:right w:val="none" w:sz="0" w:space="0" w:color="auto"/>
      </w:divBdr>
    </w:div>
    <w:div w:id="1851867348">
      <w:bodyDiv w:val="1"/>
      <w:marLeft w:val="0"/>
      <w:marRight w:val="0"/>
      <w:marTop w:val="0"/>
      <w:marBottom w:val="0"/>
      <w:divBdr>
        <w:top w:val="none" w:sz="0" w:space="0" w:color="auto"/>
        <w:left w:val="none" w:sz="0" w:space="0" w:color="auto"/>
        <w:bottom w:val="none" w:sz="0" w:space="0" w:color="auto"/>
        <w:right w:val="none" w:sz="0" w:space="0" w:color="auto"/>
      </w:divBdr>
    </w:div>
    <w:div w:id="1853446836">
      <w:bodyDiv w:val="1"/>
      <w:marLeft w:val="0"/>
      <w:marRight w:val="0"/>
      <w:marTop w:val="0"/>
      <w:marBottom w:val="0"/>
      <w:divBdr>
        <w:top w:val="none" w:sz="0" w:space="0" w:color="auto"/>
        <w:left w:val="none" w:sz="0" w:space="0" w:color="auto"/>
        <w:bottom w:val="none" w:sz="0" w:space="0" w:color="auto"/>
        <w:right w:val="none" w:sz="0" w:space="0" w:color="auto"/>
      </w:divBdr>
    </w:div>
    <w:div w:id="1856117244">
      <w:bodyDiv w:val="1"/>
      <w:marLeft w:val="0"/>
      <w:marRight w:val="0"/>
      <w:marTop w:val="0"/>
      <w:marBottom w:val="0"/>
      <w:divBdr>
        <w:top w:val="none" w:sz="0" w:space="0" w:color="auto"/>
        <w:left w:val="none" w:sz="0" w:space="0" w:color="auto"/>
        <w:bottom w:val="none" w:sz="0" w:space="0" w:color="auto"/>
        <w:right w:val="none" w:sz="0" w:space="0" w:color="auto"/>
      </w:divBdr>
    </w:div>
    <w:div w:id="1865436570">
      <w:bodyDiv w:val="1"/>
      <w:marLeft w:val="0"/>
      <w:marRight w:val="0"/>
      <w:marTop w:val="0"/>
      <w:marBottom w:val="0"/>
      <w:divBdr>
        <w:top w:val="none" w:sz="0" w:space="0" w:color="auto"/>
        <w:left w:val="none" w:sz="0" w:space="0" w:color="auto"/>
        <w:bottom w:val="none" w:sz="0" w:space="0" w:color="auto"/>
        <w:right w:val="none" w:sz="0" w:space="0" w:color="auto"/>
      </w:divBdr>
    </w:div>
    <w:div w:id="1868717246">
      <w:bodyDiv w:val="1"/>
      <w:marLeft w:val="0"/>
      <w:marRight w:val="0"/>
      <w:marTop w:val="0"/>
      <w:marBottom w:val="0"/>
      <w:divBdr>
        <w:top w:val="none" w:sz="0" w:space="0" w:color="auto"/>
        <w:left w:val="none" w:sz="0" w:space="0" w:color="auto"/>
        <w:bottom w:val="none" w:sz="0" w:space="0" w:color="auto"/>
        <w:right w:val="none" w:sz="0" w:space="0" w:color="auto"/>
      </w:divBdr>
    </w:div>
    <w:div w:id="1868981420">
      <w:bodyDiv w:val="1"/>
      <w:marLeft w:val="0"/>
      <w:marRight w:val="0"/>
      <w:marTop w:val="0"/>
      <w:marBottom w:val="0"/>
      <w:divBdr>
        <w:top w:val="none" w:sz="0" w:space="0" w:color="auto"/>
        <w:left w:val="none" w:sz="0" w:space="0" w:color="auto"/>
        <w:bottom w:val="none" w:sz="0" w:space="0" w:color="auto"/>
        <w:right w:val="none" w:sz="0" w:space="0" w:color="auto"/>
      </w:divBdr>
    </w:div>
    <w:div w:id="1873108291">
      <w:bodyDiv w:val="1"/>
      <w:marLeft w:val="0"/>
      <w:marRight w:val="0"/>
      <w:marTop w:val="0"/>
      <w:marBottom w:val="0"/>
      <w:divBdr>
        <w:top w:val="none" w:sz="0" w:space="0" w:color="auto"/>
        <w:left w:val="none" w:sz="0" w:space="0" w:color="auto"/>
        <w:bottom w:val="none" w:sz="0" w:space="0" w:color="auto"/>
        <w:right w:val="none" w:sz="0" w:space="0" w:color="auto"/>
      </w:divBdr>
    </w:div>
    <w:div w:id="1875380417">
      <w:bodyDiv w:val="1"/>
      <w:marLeft w:val="0"/>
      <w:marRight w:val="0"/>
      <w:marTop w:val="0"/>
      <w:marBottom w:val="0"/>
      <w:divBdr>
        <w:top w:val="none" w:sz="0" w:space="0" w:color="auto"/>
        <w:left w:val="none" w:sz="0" w:space="0" w:color="auto"/>
        <w:bottom w:val="none" w:sz="0" w:space="0" w:color="auto"/>
        <w:right w:val="none" w:sz="0" w:space="0" w:color="auto"/>
      </w:divBdr>
      <w:divsChild>
        <w:div w:id="1911111576">
          <w:marLeft w:val="0"/>
          <w:marRight w:val="0"/>
          <w:marTop w:val="0"/>
          <w:marBottom w:val="0"/>
          <w:divBdr>
            <w:top w:val="none" w:sz="0" w:space="0" w:color="auto"/>
            <w:left w:val="none" w:sz="0" w:space="0" w:color="auto"/>
            <w:bottom w:val="none" w:sz="0" w:space="0" w:color="auto"/>
            <w:right w:val="none" w:sz="0" w:space="0" w:color="auto"/>
          </w:divBdr>
          <w:divsChild>
            <w:div w:id="378482981">
              <w:marLeft w:val="0"/>
              <w:marRight w:val="0"/>
              <w:marTop w:val="0"/>
              <w:marBottom w:val="0"/>
              <w:divBdr>
                <w:top w:val="none" w:sz="0" w:space="0" w:color="auto"/>
                <w:left w:val="none" w:sz="0" w:space="0" w:color="auto"/>
                <w:bottom w:val="none" w:sz="0" w:space="0" w:color="auto"/>
                <w:right w:val="none" w:sz="0" w:space="0" w:color="auto"/>
              </w:divBdr>
              <w:divsChild>
                <w:div w:id="11667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6363">
          <w:marLeft w:val="0"/>
          <w:marRight w:val="0"/>
          <w:marTop w:val="0"/>
          <w:marBottom w:val="0"/>
          <w:divBdr>
            <w:top w:val="none" w:sz="0" w:space="0" w:color="auto"/>
            <w:left w:val="none" w:sz="0" w:space="0" w:color="auto"/>
            <w:bottom w:val="none" w:sz="0" w:space="0" w:color="auto"/>
            <w:right w:val="none" w:sz="0" w:space="0" w:color="auto"/>
          </w:divBdr>
          <w:divsChild>
            <w:div w:id="1837652516">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04588">
      <w:bodyDiv w:val="1"/>
      <w:marLeft w:val="0"/>
      <w:marRight w:val="0"/>
      <w:marTop w:val="0"/>
      <w:marBottom w:val="0"/>
      <w:divBdr>
        <w:top w:val="none" w:sz="0" w:space="0" w:color="auto"/>
        <w:left w:val="none" w:sz="0" w:space="0" w:color="auto"/>
        <w:bottom w:val="none" w:sz="0" w:space="0" w:color="auto"/>
        <w:right w:val="none" w:sz="0" w:space="0" w:color="auto"/>
      </w:divBdr>
    </w:div>
    <w:div w:id="1883397330">
      <w:bodyDiv w:val="1"/>
      <w:marLeft w:val="0"/>
      <w:marRight w:val="0"/>
      <w:marTop w:val="0"/>
      <w:marBottom w:val="0"/>
      <w:divBdr>
        <w:top w:val="none" w:sz="0" w:space="0" w:color="auto"/>
        <w:left w:val="none" w:sz="0" w:space="0" w:color="auto"/>
        <w:bottom w:val="none" w:sz="0" w:space="0" w:color="auto"/>
        <w:right w:val="none" w:sz="0" w:space="0" w:color="auto"/>
      </w:divBdr>
    </w:div>
    <w:div w:id="1887251864">
      <w:bodyDiv w:val="1"/>
      <w:marLeft w:val="0"/>
      <w:marRight w:val="0"/>
      <w:marTop w:val="0"/>
      <w:marBottom w:val="0"/>
      <w:divBdr>
        <w:top w:val="none" w:sz="0" w:space="0" w:color="auto"/>
        <w:left w:val="none" w:sz="0" w:space="0" w:color="auto"/>
        <w:bottom w:val="none" w:sz="0" w:space="0" w:color="auto"/>
        <w:right w:val="none" w:sz="0" w:space="0" w:color="auto"/>
      </w:divBdr>
      <w:divsChild>
        <w:div w:id="154607868">
          <w:marLeft w:val="0"/>
          <w:marRight w:val="0"/>
          <w:marTop w:val="0"/>
          <w:marBottom w:val="0"/>
          <w:divBdr>
            <w:top w:val="none" w:sz="0" w:space="0" w:color="auto"/>
            <w:left w:val="none" w:sz="0" w:space="0" w:color="auto"/>
            <w:bottom w:val="none" w:sz="0" w:space="0" w:color="auto"/>
            <w:right w:val="none" w:sz="0" w:space="0" w:color="auto"/>
          </w:divBdr>
        </w:div>
      </w:divsChild>
    </w:div>
    <w:div w:id="1889225372">
      <w:bodyDiv w:val="1"/>
      <w:marLeft w:val="0"/>
      <w:marRight w:val="0"/>
      <w:marTop w:val="0"/>
      <w:marBottom w:val="0"/>
      <w:divBdr>
        <w:top w:val="none" w:sz="0" w:space="0" w:color="auto"/>
        <w:left w:val="none" w:sz="0" w:space="0" w:color="auto"/>
        <w:bottom w:val="none" w:sz="0" w:space="0" w:color="auto"/>
        <w:right w:val="none" w:sz="0" w:space="0" w:color="auto"/>
      </w:divBdr>
    </w:div>
    <w:div w:id="1894923604">
      <w:bodyDiv w:val="1"/>
      <w:marLeft w:val="0"/>
      <w:marRight w:val="0"/>
      <w:marTop w:val="0"/>
      <w:marBottom w:val="0"/>
      <w:divBdr>
        <w:top w:val="none" w:sz="0" w:space="0" w:color="auto"/>
        <w:left w:val="none" w:sz="0" w:space="0" w:color="auto"/>
        <w:bottom w:val="none" w:sz="0" w:space="0" w:color="auto"/>
        <w:right w:val="none" w:sz="0" w:space="0" w:color="auto"/>
      </w:divBdr>
    </w:div>
    <w:div w:id="1895502948">
      <w:bodyDiv w:val="1"/>
      <w:marLeft w:val="0"/>
      <w:marRight w:val="0"/>
      <w:marTop w:val="0"/>
      <w:marBottom w:val="0"/>
      <w:divBdr>
        <w:top w:val="none" w:sz="0" w:space="0" w:color="auto"/>
        <w:left w:val="none" w:sz="0" w:space="0" w:color="auto"/>
        <w:bottom w:val="none" w:sz="0" w:space="0" w:color="auto"/>
        <w:right w:val="none" w:sz="0" w:space="0" w:color="auto"/>
      </w:divBdr>
    </w:div>
    <w:div w:id="1903061930">
      <w:bodyDiv w:val="1"/>
      <w:marLeft w:val="0"/>
      <w:marRight w:val="0"/>
      <w:marTop w:val="0"/>
      <w:marBottom w:val="0"/>
      <w:divBdr>
        <w:top w:val="none" w:sz="0" w:space="0" w:color="auto"/>
        <w:left w:val="none" w:sz="0" w:space="0" w:color="auto"/>
        <w:bottom w:val="none" w:sz="0" w:space="0" w:color="auto"/>
        <w:right w:val="none" w:sz="0" w:space="0" w:color="auto"/>
      </w:divBdr>
    </w:div>
    <w:div w:id="1903322429">
      <w:bodyDiv w:val="1"/>
      <w:marLeft w:val="0"/>
      <w:marRight w:val="0"/>
      <w:marTop w:val="0"/>
      <w:marBottom w:val="0"/>
      <w:divBdr>
        <w:top w:val="none" w:sz="0" w:space="0" w:color="auto"/>
        <w:left w:val="none" w:sz="0" w:space="0" w:color="auto"/>
        <w:bottom w:val="none" w:sz="0" w:space="0" w:color="auto"/>
        <w:right w:val="none" w:sz="0" w:space="0" w:color="auto"/>
      </w:divBdr>
    </w:div>
    <w:div w:id="1908959395">
      <w:bodyDiv w:val="1"/>
      <w:marLeft w:val="0"/>
      <w:marRight w:val="0"/>
      <w:marTop w:val="0"/>
      <w:marBottom w:val="0"/>
      <w:divBdr>
        <w:top w:val="none" w:sz="0" w:space="0" w:color="auto"/>
        <w:left w:val="none" w:sz="0" w:space="0" w:color="auto"/>
        <w:bottom w:val="none" w:sz="0" w:space="0" w:color="auto"/>
        <w:right w:val="none" w:sz="0" w:space="0" w:color="auto"/>
      </w:divBdr>
    </w:div>
    <w:div w:id="1909802685">
      <w:bodyDiv w:val="1"/>
      <w:marLeft w:val="0"/>
      <w:marRight w:val="0"/>
      <w:marTop w:val="0"/>
      <w:marBottom w:val="0"/>
      <w:divBdr>
        <w:top w:val="none" w:sz="0" w:space="0" w:color="auto"/>
        <w:left w:val="none" w:sz="0" w:space="0" w:color="auto"/>
        <w:bottom w:val="none" w:sz="0" w:space="0" w:color="auto"/>
        <w:right w:val="none" w:sz="0" w:space="0" w:color="auto"/>
      </w:divBdr>
    </w:div>
    <w:div w:id="1912542264">
      <w:bodyDiv w:val="1"/>
      <w:marLeft w:val="0"/>
      <w:marRight w:val="0"/>
      <w:marTop w:val="0"/>
      <w:marBottom w:val="0"/>
      <w:divBdr>
        <w:top w:val="none" w:sz="0" w:space="0" w:color="auto"/>
        <w:left w:val="none" w:sz="0" w:space="0" w:color="auto"/>
        <w:bottom w:val="none" w:sz="0" w:space="0" w:color="auto"/>
        <w:right w:val="none" w:sz="0" w:space="0" w:color="auto"/>
      </w:divBdr>
    </w:div>
    <w:div w:id="1923223628">
      <w:bodyDiv w:val="1"/>
      <w:marLeft w:val="0"/>
      <w:marRight w:val="0"/>
      <w:marTop w:val="0"/>
      <w:marBottom w:val="0"/>
      <w:divBdr>
        <w:top w:val="none" w:sz="0" w:space="0" w:color="auto"/>
        <w:left w:val="none" w:sz="0" w:space="0" w:color="auto"/>
        <w:bottom w:val="none" w:sz="0" w:space="0" w:color="auto"/>
        <w:right w:val="none" w:sz="0" w:space="0" w:color="auto"/>
      </w:divBdr>
    </w:div>
    <w:div w:id="1924220251">
      <w:bodyDiv w:val="1"/>
      <w:marLeft w:val="0"/>
      <w:marRight w:val="0"/>
      <w:marTop w:val="0"/>
      <w:marBottom w:val="0"/>
      <w:divBdr>
        <w:top w:val="none" w:sz="0" w:space="0" w:color="auto"/>
        <w:left w:val="none" w:sz="0" w:space="0" w:color="auto"/>
        <w:bottom w:val="none" w:sz="0" w:space="0" w:color="auto"/>
        <w:right w:val="none" w:sz="0" w:space="0" w:color="auto"/>
      </w:divBdr>
    </w:div>
    <w:div w:id="1926110987">
      <w:bodyDiv w:val="1"/>
      <w:marLeft w:val="0"/>
      <w:marRight w:val="0"/>
      <w:marTop w:val="0"/>
      <w:marBottom w:val="0"/>
      <w:divBdr>
        <w:top w:val="none" w:sz="0" w:space="0" w:color="auto"/>
        <w:left w:val="none" w:sz="0" w:space="0" w:color="auto"/>
        <w:bottom w:val="none" w:sz="0" w:space="0" w:color="auto"/>
        <w:right w:val="none" w:sz="0" w:space="0" w:color="auto"/>
      </w:divBdr>
    </w:div>
    <w:div w:id="1942838630">
      <w:bodyDiv w:val="1"/>
      <w:marLeft w:val="0"/>
      <w:marRight w:val="0"/>
      <w:marTop w:val="0"/>
      <w:marBottom w:val="0"/>
      <w:divBdr>
        <w:top w:val="none" w:sz="0" w:space="0" w:color="auto"/>
        <w:left w:val="none" w:sz="0" w:space="0" w:color="auto"/>
        <w:bottom w:val="none" w:sz="0" w:space="0" w:color="auto"/>
        <w:right w:val="none" w:sz="0" w:space="0" w:color="auto"/>
      </w:divBdr>
    </w:div>
    <w:div w:id="1950427749">
      <w:bodyDiv w:val="1"/>
      <w:marLeft w:val="0"/>
      <w:marRight w:val="0"/>
      <w:marTop w:val="0"/>
      <w:marBottom w:val="0"/>
      <w:divBdr>
        <w:top w:val="none" w:sz="0" w:space="0" w:color="auto"/>
        <w:left w:val="none" w:sz="0" w:space="0" w:color="auto"/>
        <w:bottom w:val="none" w:sz="0" w:space="0" w:color="auto"/>
        <w:right w:val="none" w:sz="0" w:space="0" w:color="auto"/>
      </w:divBdr>
    </w:div>
    <w:div w:id="1951663977">
      <w:bodyDiv w:val="1"/>
      <w:marLeft w:val="0"/>
      <w:marRight w:val="0"/>
      <w:marTop w:val="0"/>
      <w:marBottom w:val="0"/>
      <w:divBdr>
        <w:top w:val="none" w:sz="0" w:space="0" w:color="auto"/>
        <w:left w:val="none" w:sz="0" w:space="0" w:color="auto"/>
        <w:bottom w:val="none" w:sz="0" w:space="0" w:color="auto"/>
        <w:right w:val="none" w:sz="0" w:space="0" w:color="auto"/>
      </w:divBdr>
    </w:div>
    <w:div w:id="1954432399">
      <w:bodyDiv w:val="1"/>
      <w:marLeft w:val="0"/>
      <w:marRight w:val="0"/>
      <w:marTop w:val="0"/>
      <w:marBottom w:val="0"/>
      <w:divBdr>
        <w:top w:val="none" w:sz="0" w:space="0" w:color="auto"/>
        <w:left w:val="none" w:sz="0" w:space="0" w:color="auto"/>
        <w:bottom w:val="none" w:sz="0" w:space="0" w:color="auto"/>
        <w:right w:val="none" w:sz="0" w:space="0" w:color="auto"/>
      </w:divBdr>
    </w:div>
    <w:div w:id="1958635224">
      <w:bodyDiv w:val="1"/>
      <w:marLeft w:val="0"/>
      <w:marRight w:val="0"/>
      <w:marTop w:val="0"/>
      <w:marBottom w:val="0"/>
      <w:divBdr>
        <w:top w:val="none" w:sz="0" w:space="0" w:color="auto"/>
        <w:left w:val="none" w:sz="0" w:space="0" w:color="auto"/>
        <w:bottom w:val="none" w:sz="0" w:space="0" w:color="auto"/>
        <w:right w:val="none" w:sz="0" w:space="0" w:color="auto"/>
      </w:divBdr>
      <w:divsChild>
        <w:div w:id="19478434">
          <w:marLeft w:val="0"/>
          <w:marRight w:val="0"/>
          <w:marTop w:val="0"/>
          <w:marBottom w:val="0"/>
          <w:divBdr>
            <w:top w:val="none" w:sz="0" w:space="0" w:color="auto"/>
            <w:left w:val="none" w:sz="0" w:space="0" w:color="auto"/>
            <w:bottom w:val="none" w:sz="0" w:space="0" w:color="auto"/>
            <w:right w:val="none" w:sz="0" w:space="0" w:color="auto"/>
          </w:divBdr>
        </w:div>
      </w:divsChild>
    </w:div>
    <w:div w:id="1961103371">
      <w:bodyDiv w:val="1"/>
      <w:marLeft w:val="0"/>
      <w:marRight w:val="0"/>
      <w:marTop w:val="0"/>
      <w:marBottom w:val="0"/>
      <w:divBdr>
        <w:top w:val="none" w:sz="0" w:space="0" w:color="auto"/>
        <w:left w:val="none" w:sz="0" w:space="0" w:color="auto"/>
        <w:bottom w:val="none" w:sz="0" w:space="0" w:color="auto"/>
        <w:right w:val="none" w:sz="0" w:space="0" w:color="auto"/>
      </w:divBdr>
    </w:div>
    <w:div w:id="1973363284">
      <w:bodyDiv w:val="1"/>
      <w:marLeft w:val="0"/>
      <w:marRight w:val="0"/>
      <w:marTop w:val="0"/>
      <w:marBottom w:val="0"/>
      <w:divBdr>
        <w:top w:val="none" w:sz="0" w:space="0" w:color="auto"/>
        <w:left w:val="none" w:sz="0" w:space="0" w:color="auto"/>
        <w:bottom w:val="none" w:sz="0" w:space="0" w:color="auto"/>
        <w:right w:val="none" w:sz="0" w:space="0" w:color="auto"/>
      </w:divBdr>
    </w:div>
    <w:div w:id="1973518021">
      <w:bodyDiv w:val="1"/>
      <w:marLeft w:val="0"/>
      <w:marRight w:val="0"/>
      <w:marTop w:val="0"/>
      <w:marBottom w:val="0"/>
      <w:divBdr>
        <w:top w:val="none" w:sz="0" w:space="0" w:color="auto"/>
        <w:left w:val="none" w:sz="0" w:space="0" w:color="auto"/>
        <w:bottom w:val="none" w:sz="0" w:space="0" w:color="auto"/>
        <w:right w:val="none" w:sz="0" w:space="0" w:color="auto"/>
      </w:divBdr>
    </w:div>
    <w:div w:id="1980652318">
      <w:bodyDiv w:val="1"/>
      <w:marLeft w:val="0"/>
      <w:marRight w:val="0"/>
      <w:marTop w:val="0"/>
      <w:marBottom w:val="0"/>
      <w:divBdr>
        <w:top w:val="none" w:sz="0" w:space="0" w:color="auto"/>
        <w:left w:val="none" w:sz="0" w:space="0" w:color="auto"/>
        <w:bottom w:val="none" w:sz="0" w:space="0" w:color="auto"/>
        <w:right w:val="none" w:sz="0" w:space="0" w:color="auto"/>
      </w:divBdr>
    </w:div>
    <w:div w:id="1986427304">
      <w:bodyDiv w:val="1"/>
      <w:marLeft w:val="0"/>
      <w:marRight w:val="0"/>
      <w:marTop w:val="0"/>
      <w:marBottom w:val="0"/>
      <w:divBdr>
        <w:top w:val="none" w:sz="0" w:space="0" w:color="auto"/>
        <w:left w:val="none" w:sz="0" w:space="0" w:color="auto"/>
        <w:bottom w:val="none" w:sz="0" w:space="0" w:color="auto"/>
        <w:right w:val="none" w:sz="0" w:space="0" w:color="auto"/>
      </w:divBdr>
    </w:div>
    <w:div w:id="2003239086">
      <w:bodyDiv w:val="1"/>
      <w:marLeft w:val="0"/>
      <w:marRight w:val="0"/>
      <w:marTop w:val="0"/>
      <w:marBottom w:val="0"/>
      <w:divBdr>
        <w:top w:val="none" w:sz="0" w:space="0" w:color="auto"/>
        <w:left w:val="none" w:sz="0" w:space="0" w:color="auto"/>
        <w:bottom w:val="none" w:sz="0" w:space="0" w:color="auto"/>
        <w:right w:val="none" w:sz="0" w:space="0" w:color="auto"/>
      </w:divBdr>
    </w:div>
    <w:div w:id="2004770439">
      <w:bodyDiv w:val="1"/>
      <w:marLeft w:val="0"/>
      <w:marRight w:val="0"/>
      <w:marTop w:val="0"/>
      <w:marBottom w:val="0"/>
      <w:divBdr>
        <w:top w:val="none" w:sz="0" w:space="0" w:color="auto"/>
        <w:left w:val="none" w:sz="0" w:space="0" w:color="auto"/>
        <w:bottom w:val="none" w:sz="0" w:space="0" w:color="auto"/>
        <w:right w:val="none" w:sz="0" w:space="0" w:color="auto"/>
      </w:divBdr>
    </w:div>
    <w:div w:id="20053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07489">
          <w:marLeft w:val="0"/>
          <w:marRight w:val="0"/>
          <w:marTop w:val="0"/>
          <w:marBottom w:val="0"/>
          <w:divBdr>
            <w:top w:val="none" w:sz="0" w:space="0" w:color="auto"/>
            <w:left w:val="none" w:sz="0" w:space="0" w:color="auto"/>
            <w:bottom w:val="none" w:sz="0" w:space="0" w:color="auto"/>
            <w:right w:val="none" w:sz="0" w:space="0" w:color="auto"/>
          </w:divBdr>
        </w:div>
      </w:divsChild>
    </w:div>
    <w:div w:id="2007707254">
      <w:bodyDiv w:val="1"/>
      <w:marLeft w:val="0"/>
      <w:marRight w:val="0"/>
      <w:marTop w:val="0"/>
      <w:marBottom w:val="0"/>
      <w:divBdr>
        <w:top w:val="none" w:sz="0" w:space="0" w:color="auto"/>
        <w:left w:val="none" w:sz="0" w:space="0" w:color="auto"/>
        <w:bottom w:val="none" w:sz="0" w:space="0" w:color="auto"/>
        <w:right w:val="none" w:sz="0" w:space="0" w:color="auto"/>
      </w:divBdr>
    </w:div>
    <w:div w:id="2014412732">
      <w:bodyDiv w:val="1"/>
      <w:marLeft w:val="0"/>
      <w:marRight w:val="0"/>
      <w:marTop w:val="0"/>
      <w:marBottom w:val="0"/>
      <w:divBdr>
        <w:top w:val="none" w:sz="0" w:space="0" w:color="auto"/>
        <w:left w:val="none" w:sz="0" w:space="0" w:color="auto"/>
        <w:bottom w:val="none" w:sz="0" w:space="0" w:color="auto"/>
        <w:right w:val="none" w:sz="0" w:space="0" w:color="auto"/>
      </w:divBdr>
    </w:div>
    <w:div w:id="2021004745">
      <w:bodyDiv w:val="1"/>
      <w:marLeft w:val="0"/>
      <w:marRight w:val="0"/>
      <w:marTop w:val="0"/>
      <w:marBottom w:val="0"/>
      <w:divBdr>
        <w:top w:val="none" w:sz="0" w:space="0" w:color="auto"/>
        <w:left w:val="none" w:sz="0" w:space="0" w:color="auto"/>
        <w:bottom w:val="none" w:sz="0" w:space="0" w:color="auto"/>
        <w:right w:val="none" w:sz="0" w:space="0" w:color="auto"/>
      </w:divBdr>
      <w:divsChild>
        <w:div w:id="243104926">
          <w:marLeft w:val="0"/>
          <w:marRight w:val="0"/>
          <w:marTop w:val="0"/>
          <w:marBottom w:val="0"/>
          <w:divBdr>
            <w:top w:val="none" w:sz="0" w:space="0" w:color="auto"/>
            <w:left w:val="none" w:sz="0" w:space="0" w:color="auto"/>
            <w:bottom w:val="none" w:sz="0" w:space="0" w:color="auto"/>
            <w:right w:val="none" w:sz="0" w:space="0" w:color="auto"/>
          </w:divBdr>
        </w:div>
      </w:divsChild>
    </w:div>
    <w:div w:id="2021276847">
      <w:bodyDiv w:val="1"/>
      <w:marLeft w:val="0"/>
      <w:marRight w:val="0"/>
      <w:marTop w:val="0"/>
      <w:marBottom w:val="0"/>
      <w:divBdr>
        <w:top w:val="none" w:sz="0" w:space="0" w:color="auto"/>
        <w:left w:val="none" w:sz="0" w:space="0" w:color="auto"/>
        <w:bottom w:val="none" w:sz="0" w:space="0" w:color="auto"/>
        <w:right w:val="none" w:sz="0" w:space="0" w:color="auto"/>
      </w:divBdr>
    </w:div>
    <w:div w:id="2036924530">
      <w:bodyDiv w:val="1"/>
      <w:marLeft w:val="0"/>
      <w:marRight w:val="0"/>
      <w:marTop w:val="0"/>
      <w:marBottom w:val="0"/>
      <w:divBdr>
        <w:top w:val="none" w:sz="0" w:space="0" w:color="auto"/>
        <w:left w:val="none" w:sz="0" w:space="0" w:color="auto"/>
        <w:bottom w:val="none" w:sz="0" w:space="0" w:color="auto"/>
        <w:right w:val="none" w:sz="0" w:space="0" w:color="auto"/>
      </w:divBdr>
      <w:divsChild>
        <w:div w:id="120541757">
          <w:marLeft w:val="0"/>
          <w:marRight w:val="0"/>
          <w:marTop w:val="0"/>
          <w:marBottom w:val="0"/>
          <w:divBdr>
            <w:top w:val="none" w:sz="0" w:space="0" w:color="auto"/>
            <w:left w:val="none" w:sz="0" w:space="0" w:color="auto"/>
            <w:bottom w:val="none" w:sz="0" w:space="0" w:color="auto"/>
            <w:right w:val="none" w:sz="0" w:space="0" w:color="auto"/>
          </w:divBdr>
          <w:divsChild>
            <w:div w:id="1429620794">
              <w:marLeft w:val="0"/>
              <w:marRight w:val="0"/>
              <w:marTop w:val="0"/>
              <w:marBottom w:val="300"/>
              <w:divBdr>
                <w:top w:val="none" w:sz="0" w:space="0" w:color="auto"/>
                <w:left w:val="none" w:sz="0" w:space="0" w:color="auto"/>
                <w:bottom w:val="none" w:sz="0" w:space="0" w:color="auto"/>
                <w:right w:val="none" w:sz="0" w:space="0" w:color="auto"/>
              </w:divBdr>
            </w:div>
          </w:divsChild>
        </w:div>
        <w:div w:id="3871802">
          <w:marLeft w:val="0"/>
          <w:marRight w:val="0"/>
          <w:marTop w:val="0"/>
          <w:marBottom w:val="0"/>
          <w:divBdr>
            <w:top w:val="none" w:sz="0" w:space="0" w:color="auto"/>
            <w:left w:val="none" w:sz="0" w:space="0" w:color="auto"/>
            <w:bottom w:val="none" w:sz="0" w:space="0" w:color="auto"/>
            <w:right w:val="none" w:sz="0" w:space="0" w:color="auto"/>
          </w:divBdr>
        </w:div>
      </w:divsChild>
    </w:div>
    <w:div w:id="2040012855">
      <w:bodyDiv w:val="1"/>
      <w:marLeft w:val="0"/>
      <w:marRight w:val="0"/>
      <w:marTop w:val="0"/>
      <w:marBottom w:val="0"/>
      <w:divBdr>
        <w:top w:val="none" w:sz="0" w:space="0" w:color="auto"/>
        <w:left w:val="none" w:sz="0" w:space="0" w:color="auto"/>
        <w:bottom w:val="none" w:sz="0" w:space="0" w:color="auto"/>
        <w:right w:val="none" w:sz="0" w:space="0" w:color="auto"/>
      </w:divBdr>
    </w:div>
    <w:div w:id="2040280019">
      <w:bodyDiv w:val="1"/>
      <w:marLeft w:val="0"/>
      <w:marRight w:val="0"/>
      <w:marTop w:val="0"/>
      <w:marBottom w:val="0"/>
      <w:divBdr>
        <w:top w:val="none" w:sz="0" w:space="0" w:color="auto"/>
        <w:left w:val="none" w:sz="0" w:space="0" w:color="auto"/>
        <w:bottom w:val="none" w:sz="0" w:space="0" w:color="auto"/>
        <w:right w:val="none" w:sz="0" w:space="0" w:color="auto"/>
      </w:divBdr>
    </w:div>
    <w:div w:id="2042896008">
      <w:bodyDiv w:val="1"/>
      <w:marLeft w:val="0"/>
      <w:marRight w:val="0"/>
      <w:marTop w:val="0"/>
      <w:marBottom w:val="0"/>
      <w:divBdr>
        <w:top w:val="none" w:sz="0" w:space="0" w:color="auto"/>
        <w:left w:val="none" w:sz="0" w:space="0" w:color="auto"/>
        <w:bottom w:val="none" w:sz="0" w:space="0" w:color="auto"/>
        <w:right w:val="none" w:sz="0" w:space="0" w:color="auto"/>
      </w:divBdr>
    </w:div>
    <w:div w:id="2045672895">
      <w:bodyDiv w:val="1"/>
      <w:marLeft w:val="0"/>
      <w:marRight w:val="0"/>
      <w:marTop w:val="0"/>
      <w:marBottom w:val="0"/>
      <w:divBdr>
        <w:top w:val="none" w:sz="0" w:space="0" w:color="auto"/>
        <w:left w:val="none" w:sz="0" w:space="0" w:color="auto"/>
        <w:bottom w:val="none" w:sz="0" w:space="0" w:color="auto"/>
        <w:right w:val="none" w:sz="0" w:space="0" w:color="auto"/>
      </w:divBdr>
    </w:div>
    <w:div w:id="2048986475">
      <w:bodyDiv w:val="1"/>
      <w:marLeft w:val="0"/>
      <w:marRight w:val="0"/>
      <w:marTop w:val="0"/>
      <w:marBottom w:val="0"/>
      <w:divBdr>
        <w:top w:val="none" w:sz="0" w:space="0" w:color="auto"/>
        <w:left w:val="none" w:sz="0" w:space="0" w:color="auto"/>
        <w:bottom w:val="none" w:sz="0" w:space="0" w:color="auto"/>
        <w:right w:val="none" w:sz="0" w:space="0" w:color="auto"/>
      </w:divBdr>
    </w:div>
    <w:div w:id="2050496876">
      <w:bodyDiv w:val="1"/>
      <w:marLeft w:val="0"/>
      <w:marRight w:val="0"/>
      <w:marTop w:val="0"/>
      <w:marBottom w:val="0"/>
      <w:divBdr>
        <w:top w:val="none" w:sz="0" w:space="0" w:color="auto"/>
        <w:left w:val="none" w:sz="0" w:space="0" w:color="auto"/>
        <w:bottom w:val="none" w:sz="0" w:space="0" w:color="auto"/>
        <w:right w:val="none" w:sz="0" w:space="0" w:color="auto"/>
      </w:divBdr>
    </w:div>
    <w:div w:id="2051487795">
      <w:bodyDiv w:val="1"/>
      <w:marLeft w:val="0"/>
      <w:marRight w:val="0"/>
      <w:marTop w:val="0"/>
      <w:marBottom w:val="0"/>
      <w:divBdr>
        <w:top w:val="none" w:sz="0" w:space="0" w:color="auto"/>
        <w:left w:val="none" w:sz="0" w:space="0" w:color="auto"/>
        <w:bottom w:val="none" w:sz="0" w:space="0" w:color="auto"/>
        <w:right w:val="none" w:sz="0" w:space="0" w:color="auto"/>
      </w:divBdr>
    </w:div>
    <w:div w:id="2057119874">
      <w:bodyDiv w:val="1"/>
      <w:marLeft w:val="0"/>
      <w:marRight w:val="0"/>
      <w:marTop w:val="0"/>
      <w:marBottom w:val="0"/>
      <w:divBdr>
        <w:top w:val="none" w:sz="0" w:space="0" w:color="auto"/>
        <w:left w:val="none" w:sz="0" w:space="0" w:color="auto"/>
        <w:bottom w:val="none" w:sz="0" w:space="0" w:color="auto"/>
        <w:right w:val="none" w:sz="0" w:space="0" w:color="auto"/>
      </w:divBdr>
    </w:div>
    <w:div w:id="2063287196">
      <w:bodyDiv w:val="1"/>
      <w:marLeft w:val="0"/>
      <w:marRight w:val="0"/>
      <w:marTop w:val="0"/>
      <w:marBottom w:val="0"/>
      <w:divBdr>
        <w:top w:val="none" w:sz="0" w:space="0" w:color="auto"/>
        <w:left w:val="none" w:sz="0" w:space="0" w:color="auto"/>
        <w:bottom w:val="none" w:sz="0" w:space="0" w:color="auto"/>
        <w:right w:val="none" w:sz="0" w:space="0" w:color="auto"/>
      </w:divBdr>
    </w:div>
    <w:div w:id="2063794581">
      <w:bodyDiv w:val="1"/>
      <w:marLeft w:val="0"/>
      <w:marRight w:val="0"/>
      <w:marTop w:val="0"/>
      <w:marBottom w:val="0"/>
      <w:divBdr>
        <w:top w:val="none" w:sz="0" w:space="0" w:color="auto"/>
        <w:left w:val="none" w:sz="0" w:space="0" w:color="auto"/>
        <w:bottom w:val="none" w:sz="0" w:space="0" w:color="auto"/>
        <w:right w:val="none" w:sz="0" w:space="0" w:color="auto"/>
      </w:divBdr>
    </w:div>
    <w:div w:id="2072581555">
      <w:bodyDiv w:val="1"/>
      <w:marLeft w:val="0"/>
      <w:marRight w:val="0"/>
      <w:marTop w:val="0"/>
      <w:marBottom w:val="0"/>
      <w:divBdr>
        <w:top w:val="none" w:sz="0" w:space="0" w:color="auto"/>
        <w:left w:val="none" w:sz="0" w:space="0" w:color="auto"/>
        <w:bottom w:val="none" w:sz="0" w:space="0" w:color="auto"/>
        <w:right w:val="none" w:sz="0" w:space="0" w:color="auto"/>
      </w:divBdr>
    </w:div>
    <w:div w:id="2074085914">
      <w:bodyDiv w:val="1"/>
      <w:marLeft w:val="0"/>
      <w:marRight w:val="0"/>
      <w:marTop w:val="0"/>
      <w:marBottom w:val="0"/>
      <w:divBdr>
        <w:top w:val="none" w:sz="0" w:space="0" w:color="auto"/>
        <w:left w:val="none" w:sz="0" w:space="0" w:color="auto"/>
        <w:bottom w:val="none" w:sz="0" w:space="0" w:color="auto"/>
        <w:right w:val="none" w:sz="0" w:space="0" w:color="auto"/>
      </w:divBdr>
    </w:div>
    <w:div w:id="2079396834">
      <w:bodyDiv w:val="1"/>
      <w:marLeft w:val="0"/>
      <w:marRight w:val="0"/>
      <w:marTop w:val="0"/>
      <w:marBottom w:val="0"/>
      <w:divBdr>
        <w:top w:val="none" w:sz="0" w:space="0" w:color="auto"/>
        <w:left w:val="none" w:sz="0" w:space="0" w:color="auto"/>
        <w:bottom w:val="none" w:sz="0" w:space="0" w:color="auto"/>
        <w:right w:val="none" w:sz="0" w:space="0" w:color="auto"/>
      </w:divBdr>
      <w:divsChild>
        <w:div w:id="855583019">
          <w:marLeft w:val="0"/>
          <w:marRight w:val="0"/>
          <w:marTop w:val="0"/>
          <w:marBottom w:val="0"/>
          <w:divBdr>
            <w:top w:val="none" w:sz="0" w:space="0" w:color="auto"/>
            <w:left w:val="none" w:sz="0" w:space="0" w:color="auto"/>
            <w:bottom w:val="none" w:sz="0" w:space="0" w:color="auto"/>
            <w:right w:val="none" w:sz="0" w:space="0" w:color="auto"/>
          </w:divBdr>
        </w:div>
      </w:divsChild>
    </w:div>
    <w:div w:id="2086174086">
      <w:bodyDiv w:val="1"/>
      <w:marLeft w:val="0"/>
      <w:marRight w:val="0"/>
      <w:marTop w:val="0"/>
      <w:marBottom w:val="0"/>
      <w:divBdr>
        <w:top w:val="none" w:sz="0" w:space="0" w:color="auto"/>
        <w:left w:val="none" w:sz="0" w:space="0" w:color="auto"/>
        <w:bottom w:val="none" w:sz="0" w:space="0" w:color="auto"/>
        <w:right w:val="none" w:sz="0" w:space="0" w:color="auto"/>
      </w:divBdr>
    </w:div>
    <w:div w:id="2094887487">
      <w:bodyDiv w:val="1"/>
      <w:marLeft w:val="0"/>
      <w:marRight w:val="0"/>
      <w:marTop w:val="0"/>
      <w:marBottom w:val="0"/>
      <w:divBdr>
        <w:top w:val="none" w:sz="0" w:space="0" w:color="auto"/>
        <w:left w:val="none" w:sz="0" w:space="0" w:color="auto"/>
        <w:bottom w:val="none" w:sz="0" w:space="0" w:color="auto"/>
        <w:right w:val="none" w:sz="0" w:space="0" w:color="auto"/>
      </w:divBdr>
    </w:div>
    <w:div w:id="2097357527">
      <w:bodyDiv w:val="1"/>
      <w:marLeft w:val="0"/>
      <w:marRight w:val="0"/>
      <w:marTop w:val="0"/>
      <w:marBottom w:val="0"/>
      <w:divBdr>
        <w:top w:val="none" w:sz="0" w:space="0" w:color="auto"/>
        <w:left w:val="none" w:sz="0" w:space="0" w:color="auto"/>
        <w:bottom w:val="none" w:sz="0" w:space="0" w:color="auto"/>
        <w:right w:val="none" w:sz="0" w:space="0" w:color="auto"/>
      </w:divBdr>
    </w:div>
    <w:div w:id="2101559967">
      <w:bodyDiv w:val="1"/>
      <w:marLeft w:val="0"/>
      <w:marRight w:val="0"/>
      <w:marTop w:val="0"/>
      <w:marBottom w:val="0"/>
      <w:divBdr>
        <w:top w:val="none" w:sz="0" w:space="0" w:color="auto"/>
        <w:left w:val="none" w:sz="0" w:space="0" w:color="auto"/>
        <w:bottom w:val="none" w:sz="0" w:space="0" w:color="auto"/>
        <w:right w:val="none" w:sz="0" w:space="0" w:color="auto"/>
      </w:divBdr>
    </w:div>
    <w:div w:id="2109496464">
      <w:bodyDiv w:val="1"/>
      <w:marLeft w:val="0"/>
      <w:marRight w:val="0"/>
      <w:marTop w:val="0"/>
      <w:marBottom w:val="0"/>
      <w:divBdr>
        <w:top w:val="none" w:sz="0" w:space="0" w:color="auto"/>
        <w:left w:val="none" w:sz="0" w:space="0" w:color="auto"/>
        <w:bottom w:val="none" w:sz="0" w:space="0" w:color="auto"/>
        <w:right w:val="none" w:sz="0" w:space="0" w:color="auto"/>
      </w:divBdr>
    </w:div>
    <w:div w:id="2110001964">
      <w:bodyDiv w:val="1"/>
      <w:marLeft w:val="0"/>
      <w:marRight w:val="0"/>
      <w:marTop w:val="0"/>
      <w:marBottom w:val="0"/>
      <w:divBdr>
        <w:top w:val="none" w:sz="0" w:space="0" w:color="auto"/>
        <w:left w:val="none" w:sz="0" w:space="0" w:color="auto"/>
        <w:bottom w:val="none" w:sz="0" w:space="0" w:color="auto"/>
        <w:right w:val="none" w:sz="0" w:space="0" w:color="auto"/>
      </w:divBdr>
    </w:div>
    <w:div w:id="2110197904">
      <w:bodyDiv w:val="1"/>
      <w:marLeft w:val="0"/>
      <w:marRight w:val="0"/>
      <w:marTop w:val="0"/>
      <w:marBottom w:val="0"/>
      <w:divBdr>
        <w:top w:val="none" w:sz="0" w:space="0" w:color="auto"/>
        <w:left w:val="none" w:sz="0" w:space="0" w:color="auto"/>
        <w:bottom w:val="none" w:sz="0" w:space="0" w:color="auto"/>
        <w:right w:val="none" w:sz="0" w:space="0" w:color="auto"/>
      </w:divBdr>
    </w:div>
    <w:div w:id="2114086553">
      <w:bodyDiv w:val="1"/>
      <w:marLeft w:val="0"/>
      <w:marRight w:val="0"/>
      <w:marTop w:val="0"/>
      <w:marBottom w:val="0"/>
      <w:divBdr>
        <w:top w:val="none" w:sz="0" w:space="0" w:color="auto"/>
        <w:left w:val="none" w:sz="0" w:space="0" w:color="auto"/>
        <w:bottom w:val="none" w:sz="0" w:space="0" w:color="auto"/>
        <w:right w:val="none" w:sz="0" w:space="0" w:color="auto"/>
      </w:divBdr>
    </w:div>
    <w:div w:id="2124377210">
      <w:bodyDiv w:val="1"/>
      <w:marLeft w:val="0"/>
      <w:marRight w:val="0"/>
      <w:marTop w:val="0"/>
      <w:marBottom w:val="0"/>
      <w:divBdr>
        <w:top w:val="none" w:sz="0" w:space="0" w:color="auto"/>
        <w:left w:val="none" w:sz="0" w:space="0" w:color="auto"/>
        <w:bottom w:val="none" w:sz="0" w:space="0" w:color="auto"/>
        <w:right w:val="none" w:sz="0" w:space="0" w:color="auto"/>
      </w:divBdr>
    </w:div>
    <w:div w:id="2125228002">
      <w:bodyDiv w:val="1"/>
      <w:marLeft w:val="0"/>
      <w:marRight w:val="0"/>
      <w:marTop w:val="0"/>
      <w:marBottom w:val="0"/>
      <w:divBdr>
        <w:top w:val="none" w:sz="0" w:space="0" w:color="auto"/>
        <w:left w:val="none" w:sz="0" w:space="0" w:color="auto"/>
        <w:bottom w:val="none" w:sz="0" w:space="0" w:color="auto"/>
        <w:right w:val="none" w:sz="0" w:space="0" w:color="auto"/>
      </w:divBdr>
    </w:div>
    <w:div w:id="2126734217">
      <w:bodyDiv w:val="1"/>
      <w:marLeft w:val="0"/>
      <w:marRight w:val="0"/>
      <w:marTop w:val="0"/>
      <w:marBottom w:val="0"/>
      <w:divBdr>
        <w:top w:val="none" w:sz="0" w:space="0" w:color="auto"/>
        <w:left w:val="none" w:sz="0" w:space="0" w:color="auto"/>
        <w:bottom w:val="none" w:sz="0" w:space="0" w:color="auto"/>
        <w:right w:val="none" w:sz="0" w:space="0" w:color="auto"/>
      </w:divBdr>
    </w:div>
    <w:div w:id="2130128360">
      <w:bodyDiv w:val="1"/>
      <w:marLeft w:val="0"/>
      <w:marRight w:val="0"/>
      <w:marTop w:val="0"/>
      <w:marBottom w:val="0"/>
      <w:divBdr>
        <w:top w:val="none" w:sz="0" w:space="0" w:color="auto"/>
        <w:left w:val="none" w:sz="0" w:space="0" w:color="auto"/>
        <w:bottom w:val="none" w:sz="0" w:space="0" w:color="auto"/>
        <w:right w:val="none" w:sz="0" w:space="0" w:color="auto"/>
      </w:divBdr>
    </w:div>
    <w:div w:id="2133817017">
      <w:bodyDiv w:val="1"/>
      <w:marLeft w:val="0"/>
      <w:marRight w:val="0"/>
      <w:marTop w:val="0"/>
      <w:marBottom w:val="0"/>
      <w:divBdr>
        <w:top w:val="none" w:sz="0" w:space="0" w:color="auto"/>
        <w:left w:val="none" w:sz="0" w:space="0" w:color="auto"/>
        <w:bottom w:val="none" w:sz="0" w:space="0" w:color="auto"/>
        <w:right w:val="none" w:sz="0" w:space="0" w:color="auto"/>
      </w:divBdr>
    </w:div>
    <w:div w:id="2134403670">
      <w:bodyDiv w:val="1"/>
      <w:marLeft w:val="0"/>
      <w:marRight w:val="0"/>
      <w:marTop w:val="0"/>
      <w:marBottom w:val="0"/>
      <w:divBdr>
        <w:top w:val="none" w:sz="0" w:space="0" w:color="auto"/>
        <w:left w:val="none" w:sz="0" w:space="0" w:color="auto"/>
        <w:bottom w:val="none" w:sz="0" w:space="0" w:color="auto"/>
        <w:right w:val="none" w:sz="0" w:space="0" w:color="auto"/>
      </w:divBdr>
    </w:div>
    <w:div w:id="2137991217">
      <w:bodyDiv w:val="1"/>
      <w:marLeft w:val="0"/>
      <w:marRight w:val="0"/>
      <w:marTop w:val="0"/>
      <w:marBottom w:val="0"/>
      <w:divBdr>
        <w:top w:val="none" w:sz="0" w:space="0" w:color="auto"/>
        <w:left w:val="none" w:sz="0" w:space="0" w:color="auto"/>
        <w:bottom w:val="none" w:sz="0" w:space="0" w:color="auto"/>
        <w:right w:val="none" w:sz="0" w:space="0" w:color="auto"/>
      </w:divBdr>
    </w:div>
    <w:div w:id="2138520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europa.eu/commission/presscorner/detail/cs/ip_24_4029" TargetMode="External"/><Relationship Id="rId18" Type="http://schemas.openxmlformats.org/officeDocument/2006/relationships/hyperlink" Target="https://commission.europa.eu/publications/2023-annual-report-monitoring-application-eu-law_en?prefLang=cs" TargetMode="External"/><Relationship Id="rId26" Type="http://schemas.openxmlformats.org/officeDocument/2006/relationships/hyperlink" Target="https://www.europarl.europa.eu/doceo/document/TA-9-2024-04-10-TOC_EN.html" TargetMode="External"/><Relationship Id="rId39" Type="http://schemas.openxmlformats.org/officeDocument/2006/relationships/fontTable" Target="fontTable.xml"/><Relationship Id="rId21" Type="http://schemas.openxmlformats.org/officeDocument/2006/relationships/hyperlink" Target="https://www.europarl.europa.eu/news/cs/press-room/20240710IPR22806/parlament-rozhodl-o-slozeni-svych-vyboru" TargetMode="External"/><Relationship Id="rId34" Type="http://schemas.openxmlformats.org/officeDocument/2006/relationships/hyperlink" Target="https://www.consilium.europa.eu/cs/press/press-releases/2024/06/12/retail-investment-package-council-agrees-on-its-position/" TargetMode="External"/><Relationship Id="rId7" Type="http://schemas.openxmlformats.org/officeDocument/2006/relationships/hyperlink" Target="https://eur-lex.europa.eu/eli/reg/2024/1689/oj" TargetMode="External"/><Relationship Id="rId12" Type="http://schemas.openxmlformats.org/officeDocument/2006/relationships/hyperlink" Target="https://eu-solidarity-ukraine.ec.europa.eu/eu-assistance-ukraine/ukraine-facility_cs" TargetMode="External"/><Relationship Id="rId17" Type="http://schemas.openxmlformats.org/officeDocument/2006/relationships/hyperlink" Target="https://commission.europa.eu/funding-tenders/find-funding/eu-funding-programmes/technical-support-instrument/technical-support-instrument-tsi_cs" TargetMode="External"/><Relationship Id="rId25" Type="http://schemas.openxmlformats.org/officeDocument/2006/relationships/hyperlink" Target="https://economy-finance.ec.europa.eu/publications/convergence-report-2024_en" TargetMode="External"/><Relationship Id="rId33" Type="http://schemas.openxmlformats.org/officeDocument/2006/relationships/hyperlink" Target="https://home-affairs.ec.europa.eu/common-implementation-plan-pact-migration-and-asylum_en?prefLang=cs" TargetMode="External"/><Relationship Id="rId38" Type="http://schemas.openxmlformats.org/officeDocument/2006/relationships/hyperlink" Target="https://hudoc.echr.coe.int/eng?i=001-233985" TargetMode="External"/><Relationship Id="rId2" Type="http://schemas.openxmlformats.org/officeDocument/2006/relationships/styles" Target="styles.xml"/><Relationship Id="rId16" Type="http://schemas.openxmlformats.org/officeDocument/2006/relationships/hyperlink" Target="https://ec.europa.eu/atwork/applying-eu-law/infringements-proceedings/infringement_decisions/?lang_code=cs&amp;langCode=EN&amp;version=v1&amp;typeOfSearch=byDecision&amp;memberState=CZ&amp;page=1&amp;size=10&amp;order=desc&amp;sortColumns=decisionDate" TargetMode="External"/><Relationship Id="rId20" Type="http://schemas.openxmlformats.org/officeDocument/2006/relationships/hyperlink" Target="https://www.europarl.europa.eu/news/cs/press-room/20240710IPR22804/evropsky-parlament-zahajuje-sve-desate-funkcni-obdobi" TargetMode="External"/><Relationship Id="rId29" Type="http://schemas.openxmlformats.org/officeDocument/2006/relationships/hyperlink" Target="https://data.consilium.europa.eu/doc/document/ST-10247-2024-INIT/cs/pdf" TargetMode="Externa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fpi.ec.europa.eu/what-we-do/european-peace-facility_cs" TargetMode="External"/><Relationship Id="rId24" Type="http://schemas.openxmlformats.org/officeDocument/2006/relationships/hyperlink" Target="https://energy.ec.europa.eu/topics/international-cooperation/international-organisations-and-initiatives/energy-charter_en" TargetMode="External"/><Relationship Id="rId32" Type="http://schemas.openxmlformats.org/officeDocument/2006/relationships/hyperlink" Target="https://data.consilium.europa.eu/doc/document/ST-10288-2024-INIT/cs/pdf" TargetMode="External"/><Relationship Id="rId37" Type="http://schemas.openxmlformats.org/officeDocument/2006/relationships/hyperlink" Target="https://hudoc.echr.coe.int/fre?i=001-234090" TargetMode="External"/><Relationship Id="rId40"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hyperlink" Target="https://ec.europa.eu/commission/presscorner/detail/cs/inf_23_4367" TargetMode="External"/><Relationship Id="rId23" Type="http://schemas.openxmlformats.org/officeDocument/2006/relationships/hyperlink" Target="https://ec.europa.eu/commission/presscorner/detail/cs/ip_24_3602" TargetMode="External"/><Relationship Id="rId28" Type="http://schemas.openxmlformats.org/officeDocument/2006/relationships/hyperlink" Target="https://commission.europa.eu/publications/2024-european-semester-country-specific-recommendations-commission-recommendations_en" TargetMode="External"/><Relationship Id="rId36" Type="http://schemas.openxmlformats.org/officeDocument/2006/relationships/hyperlink" Target="https://curia.europa.eu/juris/liste.jsf?num=C-760/22&amp;language=CS" TargetMode="External"/><Relationship Id="rId10" Type="http://schemas.openxmlformats.org/officeDocument/2006/relationships/hyperlink" Target="https://docs.wto.org/dol2fe/Pages/SS/directdoc.aspx?filename=q:/INF/ECOM/87.pdf&amp;Open=True" TargetMode="External"/><Relationship Id="rId19" Type="http://schemas.openxmlformats.org/officeDocument/2006/relationships/hyperlink" Target="https://commission.europa.eu/strategy-and-policy/policies/justice-and-fundamental-rights/upholding-rule-law/rule-law/annual-rule-law-cycle/2024-rule-law-report_cs" TargetMode="External"/><Relationship Id="rId31" Type="http://schemas.openxmlformats.org/officeDocument/2006/relationships/hyperlink" Target="https://data.consilium.europa.eu/doc/document/ST-10255-2024-INIT/cs/pdf" TargetMode="External"/><Relationship Id="rId4" Type="http://schemas.openxmlformats.org/officeDocument/2006/relationships/webSettings" Target="webSettings.xml"/><Relationship Id="rId9" Type="http://schemas.openxmlformats.org/officeDocument/2006/relationships/hyperlink" Target="https://europa.eu/eurobarometer/surveys/detail/3232" TargetMode="External"/><Relationship Id="rId14" Type="http://schemas.openxmlformats.org/officeDocument/2006/relationships/hyperlink" Target="https://ec.europa.eu/commission/presscorner/detail/cs/inf_21_4681" TargetMode="External"/><Relationship Id="rId22" Type="http://schemas.openxmlformats.org/officeDocument/2006/relationships/hyperlink" Target="https://research-and-innovation.ec.europa.eu/funding/funding-opportunities/funding-programmes-and-open-calls/horizon-europe_en" TargetMode="External"/><Relationship Id="rId27" Type="http://schemas.openxmlformats.org/officeDocument/2006/relationships/hyperlink" Target="https://www.consilium.europa.eu/media/siolrhsj/empact-factsheets-2023.pdf" TargetMode="External"/><Relationship Id="rId30" Type="http://schemas.openxmlformats.org/officeDocument/2006/relationships/hyperlink" Target="https://www.eeas.europa.eu/eeas/hong-kong-annual-eu-report-political-and-economic-developments-2023_en" TargetMode="External"/><Relationship Id="rId35" Type="http://schemas.openxmlformats.org/officeDocument/2006/relationships/hyperlink" Target="https://commission.europa.eu/document/84aa3726-82d7-4401-98c1-fee04a7d2dd6_en" TargetMode="External"/><Relationship Id="rId8" Type="http://schemas.openxmlformats.org/officeDocument/2006/relationships/hyperlink" Target="https://competition-policy.ec.europa.eu/public-consultations/2024-article-102-guidelines_en"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 dockstate="right" visibility="0" width="525" row="2">
    <wetp:webextensionref xmlns:r="http://schemas.openxmlformats.org/officeDocument/2006/relationships" r:id="rId2"/>
  </wetp:taskpane>
  <wetp:taskpane dockstate="right" visibility="0" width="525" row="3">
    <wetp:webextensionref xmlns:r="http://schemas.openxmlformats.org/officeDocument/2006/relationships" r:id="rId3"/>
  </wetp:taskpane>
  <wetp:taskpane dockstate="right" visibility="0" width="525" row="4">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63B5D6AE-2527-4EE7-ABBC-DEC43D7459AF}">
  <we:reference id="wa200005826" version="1.1.1.0" store="cs-CZ" storeType="OMEX"/>
  <we:alternateReferences>
    <we:reference id="wa200005826" version="1.1.1.0" store="wa200005826"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74B3A01-9518-4710-9E28-BED058ADF057}">
  <we:reference id="wa104381411" version="2.4.5.0" store="cs-CZ" storeType="OMEX"/>
  <we:alternateReferences>
    <we:reference id="wa104381411" version="2.4.5.0" store="wa104381411"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326EAE98-BCFB-490F-A511-ABCF2292040D}">
  <we:reference id="wa104381905" version="2.0.1.0" store="cs-CZ" storeType="OMEX"/>
  <we:alternateReferences>
    <we:reference id="wa104381905" version="2.0.1.0" store="wa104381905"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2D4EDA58-F99F-4031-B5C6-E542A23CC816}">
  <we:reference id="wa200005502" version="1.0.0.11" store="cs-CZ" storeType="OMEX"/>
  <we:alternateReferences>
    <we:reference id="wa200005502" version="1.0.0.11" store="wa200005502" storeType="OMEX"/>
  </we:alternateReferences>
  <we:properties>
    <we:property name="docId" value="&quot;jXXJ2o7V-e5GsxBZDf_g3&quot;"/>
    <we:property name="data" value="{&quot;version&quot;:3,&quot;introHidden&quot;:false,&quot;behavior&quot;:{&quot;key&quot;:&quot;custom-message&quot;,&quot;title&quot;:&quot;Write custom instructions&quot;,&quot;content&quot;:&quot;I want you to act as a text assistant. Provide the answer without any introductory phrase.&quot;},&quot;threads&quot;:[{&quot;id&quot;:&quot;dQ5WEjSTiqZ4qqhMKi--k&quot;,&quot;contextType&quot;:&quot;CONTEXT_NONE&quot;,&quot;queries&quot;:[{&quot;id&quot;:&quot;eq3E7-DzzMJBMyhmZroce&quot;,&quot;user&quot;:&quot;Summarize in a separate document the titles and the main content&quot;,&quot;assistant&quot;:&quot;Sure, I can help with that. Please go ahead and provide the text selection that you would like me to summarize.&quot;}],&quot;context&quot;:&quot;&quot;},{&quot;id&quot;:&quot;G9WBwN98nAZ_1CWBFOmps&quot;,&quot;contextType&quot;:&quot;CONTEXT_SELECTION&quot;,&quot;context&quot;:&quot;\n Konzultace Evropské komise o spravedlivé práci na dálku a právu odpojit se\nKomise dne 30. dubna zahájila konzultaci se sociálními partnery o spravedlivé práci na dálku a právu odpojit se. Ačkoli v současné době na úrovni EU neexistují žádné právní předpisy, které by konkrétně práci na dálku nebo právo odpojit se upravovaly, existují právní předpisy EU, které se vztahují i na situaci práce na dálku a zabývají se některými aspekty souvisejícími s právem odpojit se. Strategický rámec pro bezpečnost a ochranu zdraví při práci na období 2021–2027 stanoví klíčové priority a opatření k zajištění bezpečnosti a ochrany zdraví pracovníků při práci. Směrnice o pracovní době stanoví pravidla týkající se denních a týdenních dob odpočinku, dovolené za kalendářní rok a omezení týdenní pracovní doby. Směrnice o transparentních a předvídatelných pracovních podmínkách dává pracovníkům bez předvídatelného rozvržení pracovní doby, právo předem vědět, kdy a kde bude práce probíhat. Směrnice o rovnováze mezi pracovním a soukromým životem poskytuje práva týkající se vhodného pracovního volna a pružného uspořádání práce.  \nV roce 2024 zveřejnila Komise studii, která zkoumá sociální, hospodářský a právní kontext a trendy v oblasti práce na dálku a práva odpojit se v souvislosti s digitalizací a budoucností práce během pandemie COVID-19 a po ní. Studie vychází z konzultací se správními orgány ve všech zemích EU, jakož i se zaměstnanci, zaměstnavateli, odborníky a akademickou obcí. Výsledky studie spolu s výsledky konzultací budou podkladem pro přípravu opatření EU v oblasti práce na dálku a práva na odpojení.\nVíce informací je v češtině k dispozici zde: https://ec.europa.eu/commission/presscorner/detail/cs/ip_24_1363\n\n Komise zahájila formální řízení proti Facebooku a Instagramu podle aktu o digitálních službách\n\nEvropská komise dne 30. dubna zahájila řízení s cílem posoudit, zda společnost Meta, poskytovatel Facebooku a Instagramu, porušila akt o digitálních službách. Domnělá porušení se vztahují na politiky a postupy společnosti Meta týkající se klamavé reklamy a politického obsahu jejích služeb. Týkají se rovněž nedostupnosti účinného občanského diskurzu třetí strany v reálném čase a nástroje pro sledování voleb před volbami do Evropského parlamentu, a to v souvislosti s tím, že společnost Meta zneužívá její nástroj veřejného mínění v reálném čase CrowdTangle bez odpovídající náhrady. Komise má dále podezření, že mechanismus pro označování nezákonného obsahu ve službách (dále jen „oznámení a akce“), jakož i mechanismy pro odškodnění uživatelů a interní mechanismy pro podávání stížností nejsou v souladu s požadavky aktu o digitálních službách a že existují nedostatky v poskytování přístupu společnosti Meta k veřejně dostupným údajům výzkumným pracovníkům. Zahájení řízení vychází z předběžné analýzy zprávy o posouzení rizik zaslané společností Meta v září 2023, odpovědí společnosti Meta na formální žádosti Komise o informace (o nezákonném obsahu a dezinformacích, přístupu k údajům, předplatném za politiku „no-ads“ a generativní UI), veřejně dostupných zpráv a vlastní analýzy Komise.\n\nPodrobnější informace jsou k dispozici v angličtině zde: https://ec.europa.eu/commission/presscorner/detail/en/ip_24_2373\n\n Komise schvaluje státní podporu na výstavbu jaderné elektrárny v Česku\nEvropská komise dne 30. dubna schválila podle unijních pravidel státní podpory české opatření na podporu výstavby a provozu nové jaderné elektrárny v Dukovanech v Česku. V březnu 2022 oznámilo Česko Komisi svůj plán podpořit výstavbu a provoz nové jaderné elektrárny v Dukovanech s kapacitou výroby elektřiny do 1 200 MW. Očekává se, že elektrárna bude uvedena do zkušebního provozu v 2036, přičemž komerční provoz bude zahájen v roce 2038. Elektrárna bude mít provozní životnost 60 let a její vyřazení z provozu je plánováno na rok 2096. Příjemcem na základě daného opatření je společnost Elektrárna Dukovany II (dále jen „EDU II“), ve výhradním vlastnictví skupiny ČEZ, což je jediný provozovatel jaderných elektráren v Česku. Česko plánuje poskytnout přímou cenovou podporu ve formě uzavření smlouvy na výkup elektřiny se státem vlastněnou zvláštní účelovou jednotkou. Komise dne 30. června 2022 zahájila hloubkové šetření na posouzení vhodnosti a přiměřenosti opatření. Během hloubkového šetření Česko upravilo podmínky souboru veřejné podpory pro projekt, aby rozptýlilo obavy Komise, zejména pokud jde o opatření proti narušení fungování trhu s elektřinou v ČR; zamezení nadměrné kompenzace mechanismem zpětného vyžádání; eliminace rizik koncentrace trhu nabízením min. 70% výroby elektrárny na otevřené burze.\nPodrobné informace jsou k dispozici v češtině zde:  https://ec.europa.eu/commission/presscorner/detail/cs/ip_24_2366\n\n Komise předkládá Soudnímu dvoru Evropské unie věc Česka kvůli nesprávnému provedení pravidel EU pro přiměřenost profesních předpisů\nEvropská komise dne 24. dubna předložila Soudnímu dvoru Evropské unie věc Česka kvůli nedostatečnému provedení směrnice 2018/958 o testu přiměřenosti ve svém vnitrostátním právu. Směrnice (účinná od července 2020) upravuje posuzování přiměřenosti nových či novelizovaných pravidel omezujících přístup k regulovaným povoláním nebo jejich výkon. Členské státy jsou povinny zajistit, aby každá právní úprava povolání sledovala legitimní cíle veřejného zájmu a byla nezbytná a vyvážená. Dostupnost jasného společného rámce pro posouzení před přijetím právní úpravy povolání má zásadní význam pro předcházení vzniku neodůvodněných překážek na jednotném trhu a pro usnadnění přístupu k regulovaným povoláním. Česko dle Komise nezajistilo, aby u všech opatření, na něž se vztahuje směrnice, zejména pokud jsou iniciovaná profesními sdruženími či parlamentními pozměňovacími návrhy, bylo předem provedeno posouzení přiměřenosti. Česko navíc nezajistilo posouzení kumulativního dopadu, který má více požadavků zavedených současně.\nPodrobnější informace jsou k dispozici v češtině zde: https://ec.europa.eu/commission/presscorner/detail/cs/ip_24_2166\n\n Komise vydává doporučení pro lepší ochranu dětí před násilím\nKomise dne 23. dubna přijala doporučení o rozvoji a posílení integrovaných systémů ochrany dětí v nejlepším zájmu dítěte. Doporučení si klade za cíl pomoci členským státům posílit jejich systémy ochrany dítěte, a to zejména: adaptací systémů ochrany na potřeby dětí a zapojení děti do rozhodnutí, která se jich dotýkají; podporou členských států v úpravě systémů ochrany dětí před jakoukoliv formou násilí a jeho prevence; zřízením obecného rámce integrovaných systémů ochrany dětí - členské státy se vyzývají, aby vypracovaly národní plány boje proti násilí na dětech, účinně provedly evropské a vnitrostátní právní předpisy o ochraně dětí, zavedly koordinační struktury, posílily lidské a finanční zdroje a zkvalitnily sběr dat; zlepšením koordinace a spolupráci napříč odvětvími a příslušnými orgány prostřednictvím odborné přípravy odborníků, počínaje na místní úrovni; reagováním na potřeby dětí, pokud jde o jejich bezpečí online i offline, a to zlepšováním digitální gramotnosti dětí, podporou bezpečného používání digitálních technologií a školením rodin a pečovatelů.\nPodrobné informace jsou k dispozici v češtině zde:  https://ec.europa.eu/commission/presscorner/detail/cs/ip_24_2243\n Komise navrhuje usnadnit mobilitu mládeže mezi EU a Spojeným královstvím\nKomise dne 18. dubna navrhla Radě, aby zahájila jednání se Spojeným královstvím o dohodě o usnadnění mobility mladých lidí. Vystoupení Spojeného království z Evropské unie vedlo ke snížení mobility mezi EU a Spojeným královstvím. Tato situace zvláště ovlivnila možnosti mladých lidí vyzkoušet si život na druhé straně Lamanšského průlivu a těžit z výměnných pobytů mládeže v oblasti kultury, vzdělávání, výzkumu a odborné přípravy.   \n\nCílem návrhu je řešit inovativním způsobem hlavní překážky mobility mladých lidí, se kterými se dnes setkávají, a vytvořit pro ně možnosti snadněji a na delší dobu cestovat z EU do Spojeného království a naopak. Návrh stanoví podmínky, které by musely být splněny (věk, maximální délka pobytu, podmínky způsobilosti, pravidla pro ověřování jejich dodržování) s cílem umožnit mladým lidem mobilitu bez vázanosti na účel (tj. umožnit jim studium, školení nebo práci) nebo kvóty. Například podle zamýšlené dohody by občané EU i Spojeného království ve věku od 18 do 30 let mohli v cílové zemi pobývat až 4 roky.  \nVíce informací je k dispozici v češtině zde: https://ec.europa.eu/commission/presscorner/detail/cs/ip_24_2105\n Akt o Interoperabilní Evropě vstupuje v platnost \nDne 11. dubna vstoupilo v platnost nařízení o Interoperabilní Evropě. Smyslem nařízení je usnadnit přeshraniční výměnu údajů a urychlit digitální transformaci veřejného sektoru. Občané, podniky a orgány veřejné správy budou mít z nového nařízení největší prospěch při využívání propojených digitálních veřejných služeb, které vyžadují přeshraniční výměnu údajů. Příklady těchto služeb zahrnují vzájemné uznávání akademických diplomů nebo odborných kvalifikací, výměnu údajů o vozidlech z hlediska bezpečnosti silničního provozu, přístup k údajům o sociálním zabezpečení a zdravotním stavu, výměnu informací týkajících se daní, cel, akreditace veřejných nabídkových řízení, digitální řidičské průkazy, obchodní rejstříky. \nAkt bude prováděn prostřednictvím souboru klíčových opatření: vytvoření rámce pro víceúrovňovou spolupráci; zavedení povinných posouzení interoperability s cílem vybudovat veřejné služby „interoperabilní již od návrhu“. To pomůže subjektům veřejného sektoru prozkoumat a případně řešit aspekty přeshraniční interoperability již ve fázi návrhu nových služeb nebo nástrojů. Komise poskytne nezbytné pokyny a podporu; zřízení portálu Interoperabilní Evropa – jednotné kontaktní místo na podporu sdílení a opětovného využívání vysoce kvalitních a spolehlivých řešení interoperability mezi orgány veřejné správy. Nařízení se vztahuje na subjekty veřejného sektoru, včetně orgánů a institucí EU.\nPodrobnější informace jsou k dispozici v angličtině zde: https://ec.europa.eu/commission/presscorner/detail/en/ip_24_1970\n\n Legální migrace: Rada dala zelenou jednotnému povolení k pobytu a práci pro státní příslušníky třetích zemí\nRada dne 12. dubna přijala revizi směrnice o jednotném povolení. Tento předpis, který je aktualizací stávající směrnice z roku 2011, si klade za cíl přilákat kvalifikované a talentované pracovníky, které EU potřebuje, a řešit nedostatky v oblasti legální migrace do EU.\n\nSměrnice stanoví správní postup pro udělování jednotného povolení jak pokud jde o právo pracovat, tak o právo pobývat v EU, a přiznává pracovníkům ze třetích zemí společný soubor práv. Revize zakotvuje zkrácený postup vyřizování žádostí a posiluje práva pracovníků ze třetích zemí tím, že jim umožňuje změnu zaměstnavatele a určitou dobu nezaměstnanosti. Pracovníci ze třetích zemí budou moci podat žádost z území třetí země nebo z území EU, pokud již jsou držiteli platného povolení k pobytu. Rozhodne-li se členský stát vydat jednotné povolení, bude toto rozhodnutí sloužit jako povolení k pobytu i jako pracovní povolení. Revidovaná směrnice o jednotném povolení přináší přísnější lhůty pro rozhodnutí o vydání povolení. To by mělo být přijato do tří měsíců od podání úplné žádosti. Jestliže se členský stát rozhodne provést před přijetím rozhodnutí o udělení jednotného povolení kontrolu situace na trhu práce – například aby posoudil, zda je profil pracovníka ze třetí země zapotřebí – musí tak učinit v této lhůtě 90 dnů. V případě složitých žádostí může být lhůta pro rozhodnutí výjimečně prodloužena o dalších 30 dnů. V aktualizované směrnici jsou dále stanovena pravidla pro situace, kdy se držitel jednotného povolení stane nezaměstnaným. V těchto případech mohou pracovníci ze třetích zemí zůstat na území členského státu, pokud celková doba nezaměstnanosti nepřesáhne tři měsíce v průběhu doby platnosti jednotného povolení nebo šest měsíců po dvouletém povolení.\nSměrnice vstoupí v platnost dvacátým dnem po vyhlášení v Úředním věstníku Evropské unie. Na provedení směrnice ve vnitrostátních právních předpisech budou mít členské státy dva roky.\nPodrobnější informace jsou v češtině k dispozici zde: https://data.consilium.europa.eu/doc/document/PE-93-2023-INIT/cs/pdf\n\n Rada s konečnou platností schválila směrnici vymezující trestné činy a sankce za porušení omezujících opatření EU\nRada dne 12. dubna přijala právní předpis vymezující celounijní minimální pravidla týkající se trestního stíhání porušení nebo obcházení sankcí EU ve členských státech. Určité jednání nyní bude ve všech členských státech považováno za trestný čin – například pomoc při obcházení zákazu cestování, obchodování se zbožím, jež podléhá sankcím, nebo provádění zakázaných finančních činností. Návod k těmto trestným činům a pomoc k jejich spáchání je rovněž možno stíhat jako trestný čin. Členské státy musí zajistit, aby porušování omezujících opatření EU bylo možné postihnout účinnými a přiměřenými trestními sankcemi, jejichž povaha závisí na daném trestném činu. V případě úmyslného porušení sankcí však musí být jako horní hranice trestu stanoven trest odnětí svobody. Osobám, které porušily omezující opatření EU, mohou být navíc uloženy pokuty. Odpovědnost mohou nést rovněž právnické osoby (tj. společnosti), jestliže daný trestný čin spáchala osoba, která v rámci společnosti zastává vedoucí funkci. V takovém případě mohou sankce obnášet zákaz podnikatelské činnosti a odejmutí povolení a oprávnění k výkonu hospodářské činnosti.\nSměrnice vstoupí v platnost dvacátým dnem po vyhlášení v Úředním věstníku EU. Členské státy budou mít na začlenění ustanovení směrnice do svých vnitrostátních právních předpisů 12 měsíců.\nPodrobnější informace jsou k dispozici v češtině zde: https://www.consilium.europa.eu/cs/press/press-releases/2024/04/12/council-gives-final-approval-to-introduce-criminal-offences-and-penalties-for-eu-sanctions-violation/\n\n Rada přijala směrnici EU o vymáhání a konfiskaci majetku\nRada dne 12. dubna přijala směrnici, která stanoví celounijní minimální pravidla pro vysledování, identifikaci, zajištění, konfiskaci a správu majetku pocházejícího z trestné činnosti v souvislosti se širokou škálou trestných činů. Členské státy budou muset umožnit zajištění majetku a v případě pravomocného odsouzení konfiskaci nástrojů a výnosů pocházejících z trestného činu. Mimoto budou muset přijmout pravidla, která jim umožní konfiskaci majetku v hodnotě odpovídající výnosům z trestné činnosti. Směrnice rovněž stanoví povinnost členských států umožnit konfiskaci majetku pocházejícího z trestné činnosti nebo majetku rovnocenné hodnoty, který byl převeden na třetí osobu, pokud tato třetí osoba věděla nebo měla vědět, že účelem převodu nebo nabytí bylo vyhnout se konfiskaci. Nová pravidla rovněž umožní členským státům konfiskovat majetek bez prokázaného původu, souvisí-li tento majetek s trestnou činností spáchanou v rámci zločinného spolčení a přináší-li značný hospodářský prospěch.\nSměrnice posílí postavení úřadů pro vyhledávání majetku z trestné činnosti odpovědné za přeshraniční spolupráci. Ty podpoří vnitrostátní orgány a Úřad evropského veřejného žalobce při vyšetřováních týkajících se vysledování majetku. Úřadům bude za účelem plnění těchto úkolů poskytnut přístup k příslušným databázím a rejstříkům. Úřady pro správu majetku z trestné činnosti budou určeny členskými státy a budou přímo spravovat zajištěný či konfiskovaný majetek, nebo poskytovat podporu jiným příslušným orgánům. Nový právní předpis rovněž stanoví prodej zajištěného majetku za určitých podmínek, a to i před konečnou konfiskací, například podléhá-li rychlé zkáze.\nSměrnice vstoupí v platnost dvacátým dnem po vyhlášení v Úředním věstníku EU. Členské státy budou mít na začlenění ustanovení směrnice do svých vnitrostátních právních předpisů 30 měsíců.\nPodrobnější informace jsou k dispozici v češtině zde: https://data.consilium.europa.eu/doc/document/PE-3-2024-INIT/cs/pdf\n\n Rada přijala směrnici, kterou se odkládají lhůty pro povinné podávání zpráv pro určitá odvětví a některé společnosti ze třetích zemí\nDne 29. dubna schválila Rada s konečnou platností směrnici o lhůtách pro přijetí standardů pro podávání zpráv o udržitelnosti pro určitá odvětví a některé podniky ze třetích zemí, kterou se mění směrnice o podávání zpráv podniků o udržitelnosti. Cílem je poskytnout dotčeným společnostem více času na uplatňování evropských standardů pro podávání zpráv o udržitelnosti (ESRS).\nPřijatá směrnice odkládá lhůtu pro přijetí odvětvových standardů pro podávání zpráv o udržitelnosti pro společnosti v EU a obecných standardů pro podávání zpráv o udržitelnosti pro společnosti ze zemí mimo EU na 30. června 2026. To společnostem umožní zaměřit se na provádění prvního souboru standardů ESRS a omezí požadavky na podávání zpráv na nezbytné minimum. Získá se tím rovněž více času na vypracování těchto odvětvových standardů a standardů udržitelnosti pro společnosti ze zemí mimo EU.\nPo podpisu předsedkyní Evropského parlamentu a předsedou či předsedkyní Rady bude směrnice vyhlášena v Úředním věstníku Evropské unie a vstoupí v platnost dvacátým dnem po tomto vyhlášení.\nPodrobné informace jsou k dispozici v češtině zde: https://www.consilium.europa.eu/cs/press/press-releases/2024/04/29/council-adopts-directive-to-delay-reporting-obligations-for-certain-sectors-and-third-country-companies/\n\n Rada schválila prodloužení opatření na ochranu dětí před pohlavním zneužíváním\nRada dne 29. dubna přijala nařízení, kterým se prodlužuje platnost prozatímního opatření zaměřeného na boj proti pohlavnímu zneužívání dětí on-line. Platnost tohoto prozatímního opatření bude prodloužena do 3. dubna 2026. Nařízení, které bylo dnes přijato, zachovává odchylku od pravidel ochrany údajů v odvětví elektronických komunikací, která poskytovatelům tzv. interpersonálních komunikačních služeb nezávislých na číslech (např. služeb zasílání zpráv) umožňuje používat konkrétní technologie pro zpracování osobních a jiných údajů za účelem odhalování pohlavního zneužívání dětí on-line, oznamování příslušného materiálu a jeho odstraňování. Uvedené prodloužení rovněž předpokládá, že v zájmu získání komplexních informací a srovnatelných statistik by poskytovatelé měli informace o zjištěném pohlavním zneužívání dětí on-line, které předávají úřadům a Komisi, zpřístupnit ve strukturovaném formátu.\nNařízení vstoupí v platnost prvním dnem po vyhlášení v Úředním věstníku Evropské unie. Je přímo použitelné ve všech členských státech.\nPodrobné informace jsou k dispozici v češtině zde: https://www.consilium.europa.eu/cs/press/press-releases/2024/04/29/the-council-gives-the-final-green-light-to-the-prolongation-of-a-child-sexual-abuse-protection-measure/\n\n Zpráva FRA o rasismu v práci policie\n\nAgentura EU pro základní práva (FRA) zveřejnila dne 10. dubna svou zprávu o rasismu v policejní práci. Rasismus v policejní práci má dalekosáhlé důsledky, podporuje sociální vyloučení a poškozuje důvěru v policejní složky. První celoevropská zpráva agentury FRA o rasismu v policejní práci poukazuje na hlubší strukturální problémy, které je třeba z policejních postupů v celé EU odstranit. Studie podporuje země EU v řešení rasismu v policejní práci. Identifikuje nedostatky v jejich regulačních rámcích a navrhuje konkrétní kroky k přijetí opatření: \nProsazování a uplatňování vnitrostátních právních předpisů - všechny země EU by měly ve vnitrostátních právních předpisech posílit zákaz rasové a etnické diskriminace a rasismu.\nShromažďovat údaje o pochybeních policie - většina zemí EU neshromažďuje oficiální údaje o rasistických incidentech, na nichž se podílí policie, nebo je nezaznamenává řádně. Systematický sběr spolehlivých a srovnatelných údajů, rozdělených podle pohlaví a typu incidentů, by zemím pomohl tento problém měřit a řešit. Země EU by také měly pravidelně zveřejňovat údaje o rasistických incidentech policistů.\nZajistit dohled a chránit oznamovatele - téměř všechny země EU mají orgány policejního dohledu, mnohé z nich však nejsou nezávislé a nemají pravomoci ukládat tresty. Oznamovatelé se obávají odvetných opatření, protože je pro ně obtížné oznámit incidenty bezpečným a důvěrným způsobem. Země EU by měly oznamovatelům umožnit oznamovat pochybení policejních složek a zajistit účinnou ochranu před odvetnými opatřeními. Měly by rovněž zajistit nezávislý dohled.\nPoskytovat školení a zvyšovat rozmanitost - zajištění rozmanitějších policejních sil, které reprezentují společnost, je pro účinnou a důvěryhodnou policejní práci zásadní. Ve většině zemí neexistují údaje o etnické rozmanitosti v rámci policejních sborů. To znemožňuje sledovat kariérní růst policistů s etnickým původem a dopad, který to může mít na policejní postupy. Země EU by se měly zaměřit na zvyšování rozmanitosti v policejních sborech a sledovat své úsilí. Měly by také poskytovat policistům více pokynů, jak předcházet rasismu v policejní práci. \n\nZpráva je k dispozici v angličtině zde: https://fra.europa.eu/en/publication/2024/addressing-racism-policing\n&quot;,&quot;queries&quot;:[{&quot;id&quot;:&quot;y1Y_kPzznRGVADh2w2j71&quot;,&quot;user&quot;:&quot;make short summary of the titles&quot;,&quot;assistant&quot;:&quot;1. **Commission Consultation on Fair Remote Work and Right to Disconnect**\n2. **Commission Initiated Proceedings Against Facebook and Instagram under Digital Services Act**\n3. **Commission Approves State Aid for Construction of Nuclear Power Plant in the Czech Republic**\n4. **Commission Submits Case to European Court of Justice Against Czech Republic for Improper Implementation of EU Rules**\n5. **Commission Proposes Facilitating Youth Mobility Between EU and the United Kingdom**\n6. **Interoperable Europe Act Comes into Force**\n7. **Council Greenlights Single Permit for Residence and Work for Third-Country Nationals**\n8. **Council Adopts Directive Defining Criminal Offenses and Sanctions for Violating EU Restrictive Measures**\n9. **Council Approves EU Directive on Asset Tracing and Confiscation**\n10. **Council Delays Reporting Obligations for Certain Sectors and Companies from Third Countries**\n11. **Council Extends Measures to Protect Children from Online Sexual Abuse**\n12. **FRA Report on Racism in Policing Work**&quot;},{&quot;id&quot;:&quot;eXHZuNBq7LicQ77-lSQu8&quot;,&quot;user&quot;:&quot;v češtině&quot;,&quot;assistant&quot;:&quot;1. **Konzultace Evropské komise o spravedlivé práci na dálku a právu odpojit se**\n2. **Komise zahájila formální řízení proti Facebooku a Instagramu podle aktu o digitálních službách**\n3. **Komise schvaluje státní podporu na výstavbu jaderné elektrárny v Česku**\n4. **Komise předkládá Soudnímu dvoru Evropské unie věc Česka kvůli nesprávnému provedení pravidel EU pro přiměřenost profesních předpisů**\n5. **Komise navrhuje usnadnit mobilitu mládeže mezi EU a Spojeným královstvím**\n6. **Akt o Interoperabilní Evropě vstupuje v platnost**\n7. **Legální migrace: Rada dala zelenou jednotnému povolení k pobytu a práci pro státní příslušníky třetích zemí**\n8. **Rada s konečnou platností schválila směrnici vymezující trestné činy a sankce za porušení omezujících opatření EU**\n9. **Rada přijala směrnici EU o vymáhání a konfiskaci majetku**\n10. **Rada přijala směrnici, kterou se odkládají lhůty pro povinné podávání zpráv pro určitá odvětví a některé společnosti ze třetích zemí**\n11. **Rada schválila prodloužení opatření na ochranu dětí před pohlavním zneužíváním**\n12. **Zpráva FRA o rasismu v práci policie**&quot;}]},{&quot;id&quot;:&quot;UCkGX8G3KnlPoE5mA4Sgc&quot;,&quot;contextType&quot;:&quot;CONTEXT_SELECTION&quot;,&quot;queries&quot;:[{&quot;id&quot;:&quot;CfZOJHPlY6GtRuxRJq1ip&quot;,&quot;user&quot;:&quot;ještě jednou prosím&quot;,&quot;assistant&quot;:&quot;Zadejte prosím požadavek nebo dotaz, týkající se některého z textů, na který byste rád reagoval, a já Vám s tím pomohu.&quot;},{&quot;id&quot;:&quot;huCxu6eCVkZDFxy9fcCdD&quot;,&quot;user&quot;:&quot;shrň ntitulky&quot;,&quot;assistant&quot;:&quot;1. Rozsudek Soudního dvora EU ve věci C-178/22 týkající se ochrany základních práv a přístupu k telefonním hovorům\n2. Rozsudek Soudního dvora EU ve věci C-470/21 o uchovávání IP adres a ochraně soukromí\n3. Rozsudek ESLP ve věci Allouche proti Francii týkající se antisemitských výhrůžek a práva na respektování soukromí&quot;}],&quot;context&quot;:&quot;V rámci trestního vyšetřování trestného činu krádeže s přitěžujícími okolnostmi dvou mobilních telefonů požádalo státní zastupitelství (Bolzano) italský soud o povolení získat od všech telefonních společností výpisy telefonních hovorů z odcizených přístrojů, aby bylo možné zjistit totožnost pachatelů krádeže. Italský soud má pochybnosti o slučitelnosti italského zákona, na němž je tato žádost založena, se směrnicí Unie o soukromí a elektronických komunikacích z důvodu, že se tento zákon vztahuje na stíhání trestných činů, které mají pouze omezenou společenskou škodlivost a neodůvodňují závažný zásah do základních práv na respektování soukromého života a na ochranu osobních údajů, a že italské soudy nemají žádný prostor pro uvážení, pokud jde o konkrétní závažnost daného trestného činu.\nSoudní dvůr ve svém rozsudku rozhodl, že zásah do těchto základních práv způsobený přístupem k výpisům telefonních hovorů lze kvalifikovat jako závažný, a potvrdil, že takový přístup lze poskytnout pouze k údajům o osobách podezřelých ze spáchání závažného trestného činu. Upřesnil, že členským státům přísluší definovat „závažné trestné činy“ pro účely použití dotčené směrnice. Trestněprávní předpisy totiž spadají do pravomoci členských států, pokud Unie nepřijala právní předpisy v dané oblasti. Členské státy však nemohou tento pojem a potažmo pojem „závažná trestná činnost“ zkreslit tím, že do něj zahrnou trestné činy, které zjevně nejsou závažné s ohledem na společenské podmínky dotyčného členského státu, přestože zákonodárce tohoto členského státu stanovil, že se trestají odnětím svobody s horní hranicí trestní sazby nejméně tří let. Soudní dvůr v této souvislosti upřesnil, že hranice  stanovená odkazem na takový trest se v tomto ohledu nejeví jako příliš nízká. Stanovení hranice, při jejímž překročení sazba trestu odnětí svobody za trestný čin odůvodňuje, aby byl tento trestný čin kvalifikován jako závažný trestný čin, ostatně není nutně v rozporu se zásadou proporcionality. Je však zásadní, aby v případě, že přístup k uchovávaným údajům s sebou nese riziko závažného zásahu do základních práv subjektu údajů, byl tento přístup podmíněn předchozím přezkumem ze strany soudu nebo nezávislého správního orgánu, a to zejména za účelem ověření neexistence zkreslení. Navíc soud nebo nezávislý správní orgán, který provádí tento předchozí přezkum, musí být oprávněn odepřít nebo omezit tento přístup, pokud zjistí, že zásah do základních práv je závažný, i když je zjevné, že dotčený trestný čin ve skutečnosti nespadá pod závažnou trestnou činnost s ohledem na společenské podmínky panující v dotyčném členském státě. Musí být totiž schopen zajistit spravedlivou rovnováhu mezi potřebami vyšetřování a základními právy na respektování soukromého života a na ochranu osobních údajů.\n\nKompletní text rozsudku je k dispozici zde: https://curia.europa.eu/juris/documents.jsf?num=C-178/22\n\n SDEU: Rozsudek Soudního dvora ve věci C-470/21 La Quadrature du Net a další, ze dne 30. dubna 2024\nČlenské státy mohou poskytovatelům internetových služeb uložit povinnost plošného a nerozlišujícího uchovávání IP adres pro boj proti trestným činům obecně za předpokladu, že takové uchovávání neumožňuje vyvodit přesné závěry o soukromém životě subjektu údajů. Členské státy mohou rovněž za určitých podmínek povolit příslušnému vnitrostátnímu orgánu přístup k údajům o totožnosti, které se týkají IP adres, za předpokladu, že je zaručeno takové uchovávání, které zajišťuje úplné oddělení jednotlivých kategorií údajů. V případě, že v netypických situacích zvláštnosti vnitrostátního řízení upravujícího takový přístup umožňují prostřednictvím propojení shromážděných údajů a informací vyvodit přesné závěry o soukromém životě subjektu údajů, musí přístup podléhat předchozímu přezkumu ze strany soudu nebo nezávislého správního orgánu.\nZa účelem ochrany děl, na která se vztahuje autorské právo nebo právo s ním související, před trestnými činy páchanými na internetu zavedlo francouzské nařízení dva způsoby zpracování osobních údajů. První způsob spočívá v tom, že organizace zastupující autory shromažďují IP adresy, které byly podle všeho použity na peer-to-peer sítích ke spáchání takových trestných činů, a poskytují je Haute autorité pour la diffusion des œuvres et la protection des droits sur internet. Druhý způsob zahrnuje zejména porovnání IP adresy s údaji o totožnosti jejího držitele prováděné poskytovateli internetových služeb, kteří jednají na žádost Hadopi. Takové zpracování údajů umožňuje tomuto úřadu, aby proti identifikovaným osobám zahájil řízení kombinující výchovná a represivní opatření, které může v nejzávažnějších případech vést k předložení věci státnímu zastupitelství.Čtyři sdružení na ochranu práv a svobod na internetu podala ke Conseil d’État žalobu znějící na zrušení dotčeného nařízení. Conseil d’État se Soudního dvora táže, zda jsou výše uvedená zpracování údajů slučitelná s unijním právem.\nSoudní dvůr zasedající v plénu rozhodl, že plošné a nerozlišující uchovávání IP adres nutně nepředstavuje závažný zásah do základních práv. Takové uchovávání je povoleno v případě, že vnitrostátní právní úprava stanoví způsoby uchovávání, které zaručují skutečně úplné oddělení jednotlivých kategorií osobních údajů a vylučují tak možnost vyvodit přesné závěry o soukromém životě subjektu údajů. Soudní dvůr rovněž upřesnil, že unijní právo nebrání vnitrostátní právní úpravě, která příslušnému orgánu veřejné moci umožňuje výhradně s cílem zjistit totožnost osoby podezřelé ze spáchání trestného činu, aby měl přístup k údajům o totožnosti odpovídajícím IP adrese, které poskytovatelé internetových služeb uchovávají odděleně a skutečně samostatně. Členské státy však musí zajistit, aby tento přístup neumožňoval vyvozování přesných závěrů o soukromém životě dotčených držitelů IP adres. To znamená, že zaměstnancům, kteří mají tento přístup, musí být zakázáno, aby zpřístupňovali informace o obsahu prohlížených souborů, sledovali vzorce vyhledávání z IP adres a používali tyto adresy k jiným účelům než k identifikaci jejich držitelů za účelem přijetí případných opatření.\nV případě, že je účelem přístupu k údajům o totožnosti uživatelů prostředků elektronické komunikace výhradně identifikace dotčeného uživatele, nevyžaduje se předchozí přezkum tohoto přístupu ze strany soudu nebo nezávislého správního orgánu, jelikož takový přístup zahrnuje zásah do základních práv, který nelze kvalifikovat jako závažný. Tento přezkum však musí být upraven pro případ, kdy zvláštnosti vnitrostátního postupu upravujícího takový přístup mohou prostřednictvím propojení údajů a informací shromážděných postupně v jednotlivých fázích tohoto postupu umožnit vyvození přesných závěrů o soukromém životě subjektu údajů, a tudíž mohou představovat závažný zásah do základních práv. V takovém případě musí být tento přezkum ze strany soudu nebo nezávislého správního orgánu proveden před tímto propojením, přičemž musí být zachována účinnost uvedeného postupu, a zejména možnost identifikovat případy možného opakování dotčeného protiprávního jednání.\nKompletní text rozsudku je k dispozici zde: https://curia.europa.eu/juris/documents.jsf?num=C-470/21\n\nESLP: Rozsudek ESLP ve věci Allouche proti Francii (stížnost č. 81249/17), ze dne 11. dubna 2024\n\nEvropský soud pro lidská práva (ESLP) jednomyslně rozhodl, že došlo k porušení článku 8 (právo na respektování soukromého života) Úmluvy o ochraně lidských práv a základních svobod ve spojení s čl. 14 Úmluvy (zákaz diskriminace).\nStěžovatelka Myriam Allouche je francouzská státní příslušnice žijící v Paříži. Případ se týkal trestního řízení vedeného na základě stížnosti stěžovatelky ohledně antisemitských urážek a výhrůžek, které jí adresovala soukromá osoba. S odvoláním zejména na článek 6 Úmluvy (právo na spravedlivý proces) měla stěžovatelka za to, že vnitrostátní soudy odmítly uznat antisemitský charakter výroků pachatele, a tvrdila, že ji orgány dostatečně neochránily před násilnými slovními útoky, které jí způsobily utrpení a měly hluboký dopad na její soukromý život. Některé adresované výroky byly extrémně násilné, obsahovaly přímé výhrůžky smrtí, znásilněním a dalšími násilnými činy a byly namířeny proti stěžovatelce jako člence židovské komunity. \nESLP posoudil tento příklad podle článku 8 Úmluvy ve spojením s článkem 14 Úmluvy. Uvedl, že vnitrostátní orgány mají povinnost zavést vhodný právní rámec na ochranu před diskriminací a přijmout veškerá opatření ke zjištění, zda napadené činy mají rasistický nebo obecněji diskriminační motiv. V případech, kdy byly činy, které představují závažné trestné činy, namířeny proti tělesné nebo duševní integritě osoby, mohou odpovídající ochranu a odstrašující účinek zajistit pouze účinné trestněprávní mechanismy. Násilné incidenty s údajně diskriminačními motivy, zejména rasistickými, by neměly být posuzovány stejně jako trestné činy, u nichž takové motivy chybí. Francouzské trestní předpisy disponují mechanismem pro trestání vyhrožování spácháním trestného činu, pokud bylo vyhrožováno z důvodu etnického původu, náboženství nebo rasy oběti, a tento mechanismus byl použit v počáteční fázi, kdy bylo podáno trestní oznámení. Přesto se státní zástupce navzdory urážkám a písemným výhrůžkám smrtí, znásilněním a násilnými činy, jejichž antisemitský charakter lze jen stěží zpochybnit, a navzdory skutečnosti, že vyšetřování bylo zpočátku zaměřeno tímto směrem, rozhodl vznést proti osobě B. obvinění pro opakované výhrůžky smrtí v rámci „okamžitého zkráceného řízení“, přičemž nevzal v úvahu aspekt těchto výhrůžek, který se týkal skutečné nebo domnělé příslušnosti oběti k židovské komunitě. Osoba B. byla souzena pouze za „běžné“ vyhrožování smrtí. ESLP si je však jist, že podle francouzského trestního práva mohl státní zástupce zohlednit antisemitskou složku příslušných činů v obvinění, na jehož základě byla osoba B. předána soudu. Žádný z dotčených trestních soudů, který případ následně projednával vč. soudu kasačního, nikdy nezohlednil antisemitský charakter trestných činů, ať už ve fázi podání obžaloby, ve fázi žádosti o překvalifikování, která byla zamítnuta, nebo následně ve fázi odsouzení. S ohledem na výše uvedené úvahy vnitrostátní orgány nerespektovaly své pozitivní závazky podle článků 8 a 14 Úmluvy, které spočívaly v tom, že stěžovatelce poskytly účinnou a přiměřenou trestněprávní ochranu před výroky pachatele – osoby B. Tím, že orgány nezohlednily antisemitskou složku tohoto případu, zpochybnily svou schopnost poskytnout odpovídající reakci. Došlo tedy k porušení článků 8 a 14 Úmluvy.\nCelý rozsudek je k dispozici ve francouzském jazyce zde: https://hudoc.echr.coe.int/eng?i=001-232010 \n&quot;},{&quot;id&quot;:&quot;oUHiwzPZTJIZYf5G26R65&quot;,&quot;contextType&quot;:&quot;CONTEXT_SELECTION&quot;,&quot;queries&quot;:[{&quot;id&quot;:&quot;pSCVG2fw900JM0HWEjimr&quot;,&quot;user&quot;:&quot;přidej tento&quot;,&quot;assistant&quot;:&quot;Na jakékoli textové selekci mohu poskytnout kontext nebo provést úkoly na základě pokynů, které mi poskytnete. Zdá se však, že tvá instrukce neobsahuje konkrétní žádost nebo návod na to, co bys chtěl/a dělat s touto informací. Můžeš mi říct, co potřebuješ, abych mohl/a pokračovat?&quot;}],&quot;context&quot;:&quot;\nSDEU: Rozsudek Soudního dvora ve věci C-178/22 | Procura della Repubblica presso il Tribunále di Bolzano, ze dne 30. dubna 2024\n&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122</TotalTime>
  <Pages>21</Pages>
  <Words>8597</Words>
  <Characters>57390</Characters>
  <Application>Microsoft Office Word</Application>
  <DocSecurity>0</DocSecurity>
  <Lines>478</Lines>
  <Paragraphs>131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Alžběta Dvořáková Recová</dc:creator>
  <cp:keywords/>
  <dc:description/>
  <cp:lastModifiedBy>Mgr. Lenka Vojířová</cp:lastModifiedBy>
  <cp:revision>4</cp:revision>
  <cp:lastPrinted>2023-12-05T14:23:00Z</cp:lastPrinted>
  <dcterms:created xsi:type="dcterms:W3CDTF">2024-08-31T22:38:00Z</dcterms:created>
  <dcterms:modified xsi:type="dcterms:W3CDTF">2024-09-02T11:09:00Z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77ec040cfd3edbb74652a86cfa8baf2f451ce7f9320b43fe4be077380e435c20</vt:lpwstr>
  </property>
</Properties>
</file>